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83E8A" w14:textId="018984F2" w:rsidR="00FF3023" w:rsidRPr="00FF3023" w:rsidRDefault="00FF3023" w:rsidP="00FF3023">
      <w:pPr>
        <w:spacing w:line="360" w:lineRule="auto"/>
        <w:jc w:val="both"/>
        <w:rPr>
          <w:rFonts w:ascii="Invesco Interstate Bold" w:hAnsi="Invesco Interstate Bold"/>
          <w:b/>
          <w:bCs/>
          <w:sz w:val="28"/>
          <w:szCs w:val="28"/>
        </w:rPr>
      </w:pPr>
      <w:proofErr w:type="spellStart"/>
      <w:r w:rsidRPr="00FF3023">
        <w:rPr>
          <w:rFonts w:ascii="Invesco Interstate Bold" w:hAnsi="Invesco Interstate Bold"/>
          <w:b/>
          <w:bCs/>
          <w:sz w:val="28"/>
          <w:szCs w:val="28"/>
        </w:rPr>
        <w:t>Invesco</w:t>
      </w:r>
      <w:proofErr w:type="spellEnd"/>
      <w:r w:rsidRPr="00FF3023">
        <w:rPr>
          <w:rFonts w:ascii="Invesco Interstate Bold" w:hAnsi="Invesco Interstate Bold"/>
          <w:b/>
          <w:bCs/>
          <w:sz w:val="28"/>
          <w:szCs w:val="28"/>
        </w:rPr>
        <w:t xml:space="preserve">: </w:t>
      </w:r>
      <w:r w:rsidR="00B144E0">
        <w:rPr>
          <w:rFonts w:ascii="Invesco Interstate Bold" w:hAnsi="Invesco Interstate Bold"/>
          <w:b/>
          <w:bCs/>
          <w:sz w:val="28"/>
          <w:szCs w:val="28"/>
        </w:rPr>
        <w:t>Světová situace z pohledu makroekonomů</w:t>
      </w:r>
      <w:r w:rsidRPr="00FF3023">
        <w:rPr>
          <w:rFonts w:ascii="Invesco Interstate Bold" w:hAnsi="Invesco Interstate Bold"/>
          <w:b/>
          <w:bCs/>
          <w:sz w:val="28"/>
          <w:szCs w:val="28"/>
        </w:rPr>
        <w:t xml:space="preserve"> zůstává přízniv</w:t>
      </w:r>
      <w:r w:rsidR="00B144E0">
        <w:rPr>
          <w:rFonts w:ascii="Invesco Interstate Bold" w:hAnsi="Invesco Interstate Bold"/>
          <w:b/>
          <w:bCs/>
          <w:sz w:val="28"/>
          <w:szCs w:val="28"/>
        </w:rPr>
        <w:t>á</w:t>
      </w:r>
    </w:p>
    <w:p w14:paraId="2FB22D37" w14:textId="77777777" w:rsidR="00DF6C0B" w:rsidRDefault="00DF6C0B" w:rsidP="003D67B0">
      <w:pPr>
        <w:spacing w:line="360" w:lineRule="auto"/>
        <w:jc w:val="both"/>
        <w:rPr>
          <w:rFonts w:ascii="Invesco Interstate Light" w:eastAsia="MS Mincho" w:hAnsi="Invesco Interstate Light"/>
          <w:sz w:val="22"/>
          <w:szCs w:val="22"/>
          <w:lang w:eastAsia="ja-JP"/>
        </w:rPr>
      </w:pPr>
    </w:p>
    <w:p w14:paraId="58569132" w14:textId="76353BAA" w:rsidR="00B144E0" w:rsidRPr="00B144E0" w:rsidRDefault="00B144E0" w:rsidP="00B144E0">
      <w:pPr>
        <w:spacing w:line="276" w:lineRule="auto"/>
        <w:rPr>
          <w:rFonts w:ascii="Invesco Interstate Light" w:eastAsia="MS Mincho" w:hAnsi="Invesco Interstate Light"/>
          <w:b/>
          <w:bCs/>
          <w:sz w:val="22"/>
          <w:szCs w:val="22"/>
          <w:lang w:eastAsia="ja-JP"/>
        </w:rPr>
      </w:pPr>
      <w:r>
        <w:rPr>
          <w:rFonts w:ascii="Invesco Interstate Light" w:eastAsia="MS Mincho" w:hAnsi="Invesco Interstate Light"/>
          <w:b/>
          <w:bCs/>
          <w:sz w:val="22"/>
          <w:szCs w:val="22"/>
          <w:lang w:eastAsia="ja-JP"/>
        </w:rPr>
        <w:t>I nadále</w:t>
      </w:r>
      <w:r w:rsidRPr="00B144E0">
        <w:rPr>
          <w:rFonts w:ascii="Invesco Interstate Light" w:eastAsia="MS Mincho" w:hAnsi="Invesco Interstate Light"/>
          <w:b/>
          <w:bCs/>
          <w:sz w:val="22"/>
          <w:szCs w:val="22"/>
          <w:lang w:eastAsia="ja-JP"/>
        </w:rPr>
        <w:t xml:space="preserve"> se</w:t>
      </w:r>
      <w:r w:rsidR="004B0E80">
        <w:rPr>
          <w:rFonts w:ascii="Invesco Interstate Light" w:eastAsia="MS Mincho" w:hAnsi="Invesco Interstate Light"/>
          <w:b/>
          <w:bCs/>
          <w:sz w:val="22"/>
          <w:szCs w:val="22"/>
          <w:lang w:eastAsia="ja-JP"/>
        </w:rPr>
        <w:t xml:space="preserve"> analytici a stratégové</w:t>
      </w:r>
      <w:r w:rsidRPr="00B144E0">
        <w:rPr>
          <w:rFonts w:ascii="Invesco Interstate Light" w:eastAsia="MS Mincho" w:hAnsi="Invesco Interstate Light"/>
          <w:b/>
          <w:bCs/>
          <w:sz w:val="22"/>
          <w:szCs w:val="22"/>
          <w:lang w:eastAsia="ja-JP"/>
        </w:rPr>
        <w:t xml:space="preserve"> v </w:t>
      </w:r>
      <w:proofErr w:type="spellStart"/>
      <w:r w:rsidRPr="00B144E0">
        <w:rPr>
          <w:rFonts w:ascii="Invesco Interstate Light" w:eastAsia="MS Mincho" w:hAnsi="Invesco Interstate Light"/>
          <w:b/>
          <w:bCs/>
          <w:sz w:val="22"/>
          <w:szCs w:val="22"/>
          <w:lang w:eastAsia="ja-JP"/>
        </w:rPr>
        <w:t>Invescu</w:t>
      </w:r>
      <w:proofErr w:type="spellEnd"/>
      <w:r w:rsidRPr="00B144E0">
        <w:rPr>
          <w:rFonts w:ascii="Invesco Interstate Light" w:eastAsia="MS Mincho" w:hAnsi="Invesco Interstate Light"/>
          <w:b/>
          <w:bCs/>
          <w:sz w:val="22"/>
          <w:szCs w:val="22"/>
          <w:lang w:eastAsia="ja-JP"/>
        </w:rPr>
        <w:t xml:space="preserve"> domnív</w:t>
      </w:r>
      <w:r w:rsidR="004B0E80">
        <w:rPr>
          <w:rFonts w:ascii="Invesco Interstate Light" w:eastAsia="MS Mincho" w:hAnsi="Invesco Interstate Light"/>
          <w:b/>
          <w:bCs/>
          <w:sz w:val="22"/>
          <w:szCs w:val="22"/>
          <w:lang w:eastAsia="ja-JP"/>
        </w:rPr>
        <w:t>ají</w:t>
      </w:r>
      <w:r w:rsidRPr="00B144E0">
        <w:rPr>
          <w:rFonts w:ascii="Invesco Interstate Light" w:eastAsia="MS Mincho" w:hAnsi="Invesco Interstate Light"/>
          <w:b/>
          <w:bCs/>
          <w:sz w:val="22"/>
          <w:szCs w:val="22"/>
          <w:lang w:eastAsia="ja-JP"/>
        </w:rPr>
        <w:t xml:space="preserve">, že se světová ekonomika nachází ve fázi expanze, v níž se pohybuje již od poloviny roku 2020. </w:t>
      </w:r>
      <w:r>
        <w:rPr>
          <w:rFonts w:ascii="Invesco Interstate Light" w:eastAsia="MS Mincho" w:hAnsi="Invesco Interstate Light"/>
          <w:b/>
          <w:bCs/>
          <w:sz w:val="22"/>
          <w:szCs w:val="22"/>
          <w:lang w:eastAsia="ja-JP"/>
        </w:rPr>
        <w:t>P</w:t>
      </w:r>
      <w:r w:rsidRPr="00B144E0">
        <w:rPr>
          <w:rFonts w:ascii="Invesco Interstate Light" w:eastAsia="MS Mincho" w:hAnsi="Invesco Interstate Light"/>
          <w:b/>
          <w:bCs/>
          <w:sz w:val="22"/>
          <w:szCs w:val="22"/>
          <w:lang w:eastAsia="ja-JP"/>
        </w:rPr>
        <w:t xml:space="preserve">odle </w:t>
      </w:r>
      <w:r w:rsidR="004B0E80">
        <w:rPr>
          <w:rFonts w:ascii="Invesco Interstate Light" w:eastAsia="MS Mincho" w:hAnsi="Invesco Interstate Light"/>
          <w:b/>
          <w:bCs/>
          <w:sz w:val="22"/>
          <w:szCs w:val="22"/>
          <w:lang w:eastAsia="ja-JP"/>
        </w:rPr>
        <w:t>nich</w:t>
      </w:r>
      <w:r>
        <w:rPr>
          <w:rFonts w:ascii="Invesco Interstate Light" w:eastAsia="MS Mincho" w:hAnsi="Invesco Interstate Light"/>
          <w:b/>
          <w:bCs/>
          <w:sz w:val="22"/>
          <w:szCs w:val="22"/>
          <w:lang w:eastAsia="ja-JP"/>
        </w:rPr>
        <w:t xml:space="preserve"> na to</w:t>
      </w:r>
      <w:r w:rsidRPr="00B144E0">
        <w:rPr>
          <w:rFonts w:ascii="Invesco Interstate Light" w:eastAsia="MS Mincho" w:hAnsi="Invesco Interstate Light"/>
          <w:b/>
          <w:bCs/>
          <w:sz w:val="22"/>
          <w:szCs w:val="22"/>
          <w:lang w:eastAsia="ja-JP"/>
        </w:rPr>
        <w:t xml:space="preserve"> ukazuje</w:t>
      </w:r>
      <w:r>
        <w:rPr>
          <w:rFonts w:ascii="Invesco Interstate Light" w:eastAsia="MS Mincho" w:hAnsi="Invesco Interstate Light"/>
          <w:b/>
          <w:bCs/>
          <w:sz w:val="22"/>
          <w:szCs w:val="22"/>
          <w:lang w:eastAsia="ja-JP"/>
        </w:rPr>
        <w:t xml:space="preserve"> fakt</w:t>
      </w:r>
      <w:r w:rsidRPr="00B144E0">
        <w:rPr>
          <w:rFonts w:ascii="Invesco Interstate Light" w:eastAsia="MS Mincho" w:hAnsi="Invesco Interstate Light"/>
          <w:b/>
          <w:bCs/>
          <w:sz w:val="22"/>
          <w:szCs w:val="22"/>
          <w:lang w:eastAsia="ja-JP"/>
        </w:rPr>
        <w:t>, že dodávky energií na globální úrovni nebyly narušeny v takové míře, v jak</w:t>
      </w:r>
      <w:r w:rsidR="007205BB">
        <w:rPr>
          <w:rFonts w:ascii="Invesco Interstate Light" w:eastAsia="MS Mincho" w:hAnsi="Invesco Interstate Light"/>
          <w:b/>
          <w:bCs/>
          <w:sz w:val="22"/>
          <w:szCs w:val="22"/>
          <w:lang w:eastAsia="ja-JP"/>
        </w:rPr>
        <w:t>é</w:t>
      </w:r>
      <w:r w:rsidRPr="00B144E0">
        <w:rPr>
          <w:rFonts w:ascii="Invesco Interstate Light" w:eastAsia="MS Mincho" w:hAnsi="Invesco Interstate Light"/>
          <w:b/>
          <w:bCs/>
          <w:sz w:val="22"/>
          <w:szCs w:val="22"/>
          <w:lang w:eastAsia="ja-JP"/>
        </w:rPr>
        <w:t xml:space="preserve"> se obávali na začátku války s Íránem. Většina ekonomik prokázala, vyšším nákladům na energie navzdory, překvapivou odolnost.</w:t>
      </w:r>
    </w:p>
    <w:p w14:paraId="2C65CC2C" w14:textId="77777777" w:rsidR="00B144E0" w:rsidRPr="000B3486" w:rsidRDefault="00B144E0" w:rsidP="003D67B0">
      <w:pPr>
        <w:spacing w:line="360" w:lineRule="auto"/>
        <w:jc w:val="both"/>
        <w:rPr>
          <w:rFonts w:ascii="Invesco Interstate Light" w:eastAsia="MS Mincho" w:hAnsi="Invesco Interstate Light"/>
          <w:sz w:val="22"/>
          <w:szCs w:val="22"/>
          <w:lang w:eastAsia="ja-JP"/>
        </w:rPr>
      </w:pPr>
    </w:p>
    <w:p w14:paraId="59501862" w14:textId="6E9FC5FF" w:rsidR="00DF6C0B" w:rsidRPr="00DF6C0B" w:rsidRDefault="00FF3023" w:rsidP="00DF6C0B">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Ekonomická expanze pokračuje</w:t>
      </w:r>
    </w:p>
    <w:p w14:paraId="4427FED4" w14:textId="44BC9945" w:rsidR="00FF3023" w:rsidRPr="00FF3023" w:rsidRDefault="00FF3023" w:rsidP="00FF3023">
      <w:pPr>
        <w:numPr>
          <w:ilvl w:val="0"/>
          <w:numId w:val="47"/>
        </w:num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 xml:space="preserve">Předstihové ukazatele t zůstávají ve většině zemí nad svými dlouhodobými trendy </w:t>
      </w:r>
      <w:r w:rsidRPr="00291163">
        <w:rPr>
          <w:rFonts w:ascii="Invesco Interstate Light" w:eastAsia="MS Mincho" w:hAnsi="Invesco Interstate Light"/>
          <w:b/>
          <w:bCs/>
          <w:sz w:val="22"/>
          <w:szCs w:val="22"/>
          <w:lang w:eastAsia="ja-JP"/>
        </w:rPr>
        <w:t xml:space="preserve">(viz graf </w:t>
      </w:r>
      <w:r w:rsidR="00B144E0">
        <w:rPr>
          <w:rFonts w:ascii="Invesco Interstate Light" w:eastAsia="MS Mincho" w:hAnsi="Invesco Interstate Light"/>
          <w:b/>
          <w:bCs/>
          <w:sz w:val="22"/>
          <w:szCs w:val="22"/>
          <w:lang w:eastAsia="ja-JP"/>
        </w:rPr>
        <w:t>níže</w:t>
      </w:r>
      <w:r w:rsidRPr="00291163">
        <w:rPr>
          <w:rFonts w:ascii="Invesco Interstate Light" w:eastAsia="MS Mincho" w:hAnsi="Invesco Interstate Light"/>
          <w:b/>
          <w:bCs/>
          <w:sz w:val="22"/>
          <w:szCs w:val="22"/>
          <w:lang w:eastAsia="ja-JP"/>
        </w:rPr>
        <w:t>) a</w:t>
      </w:r>
      <w:r w:rsidRPr="00FF3023">
        <w:rPr>
          <w:rFonts w:ascii="Invesco Interstate Light" w:eastAsia="MS Mincho" w:hAnsi="Invesco Interstate Light"/>
          <w:b/>
          <w:bCs/>
          <w:sz w:val="22"/>
          <w:szCs w:val="22"/>
          <w:lang w:eastAsia="ja-JP"/>
        </w:rPr>
        <w:t xml:space="preserve"> jejich dynamika se v posledních měsících opět zlepšila.</w:t>
      </w:r>
    </w:p>
    <w:p w14:paraId="4D67DA4A" w14:textId="77777777" w:rsidR="00FF3023" w:rsidRPr="00FF3023" w:rsidRDefault="00FF3023" w:rsidP="00FF3023">
      <w:pPr>
        <w:numPr>
          <w:ilvl w:val="0"/>
          <w:numId w:val="47"/>
        </w:num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Předchozí uvolňování měnové politiky nadále působí prostřednictvím růstu peněžní zásoby.</w:t>
      </w:r>
    </w:p>
    <w:p w14:paraId="242E2978" w14:textId="026CFA18" w:rsidR="00FF3023" w:rsidRPr="00FF3023" w:rsidRDefault="00FF3023" w:rsidP="00FF3023">
      <w:pPr>
        <w:numPr>
          <w:ilvl w:val="0"/>
          <w:numId w:val="47"/>
        </w:num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Výdaje související s umělou inteligencí by mohly zvýšit poptávku</w:t>
      </w:r>
      <w:r w:rsidR="00B65144">
        <w:rPr>
          <w:rFonts w:ascii="Invesco Interstate Light" w:eastAsia="MS Mincho" w:hAnsi="Invesco Interstate Light"/>
          <w:b/>
          <w:bCs/>
          <w:sz w:val="22"/>
          <w:szCs w:val="22"/>
          <w:lang w:eastAsia="ja-JP"/>
        </w:rPr>
        <w:t xml:space="preserve"> po investicích</w:t>
      </w:r>
      <w:r w:rsidRPr="00FF3023">
        <w:rPr>
          <w:rFonts w:ascii="Invesco Interstate Light" w:eastAsia="MS Mincho" w:hAnsi="Invesco Interstate Light"/>
          <w:b/>
          <w:bCs/>
          <w:sz w:val="22"/>
          <w:szCs w:val="22"/>
          <w:lang w:eastAsia="ja-JP"/>
        </w:rPr>
        <w:t>, a poskytnout tak ekonomice mírnou podporu.</w:t>
      </w:r>
    </w:p>
    <w:p w14:paraId="19F9993E" w14:textId="77777777" w:rsidR="00FF3023" w:rsidRDefault="00FF3023" w:rsidP="00FF3023">
      <w:pPr>
        <w:numPr>
          <w:ilvl w:val="0"/>
          <w:numId w:val="47"/>
        </w:num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Pokud ceny energií nakonec začnou klesat, jak očekáváme, mohl by rychlejší růst reálných příjmů vést k oživení spotřebitelských výdajů.</w:t>
      </w:r>
    </w:p>
    <w:p w14:paraId="6D2305C0" w14:textId="77777777" w:rsidR="00B4387E" w:rsidRDefault="00B4387E" w:rsidP="00B4387E">
      <w:pPr>
        <w:spacing w:line="360" w:lineRule="auto"/>
        <w:ind w:left="720"/>
        <w:jc w:val="both"/>
        <w:rPr>
          <w:rFonts w:ascii="Invesco Interstate Light" w:eastAsia="MS Mincho" w:hAnsi="Invesco Interstate Light"/>
          <w:b/>
          <w:bCs/>
          <w:sz w:val="22"/>
          <w:szCs w:val="22"/>
          <w:lang w:eastAsia="ja-JP"/>
        </w:rPr>
      </w:pPr>
    </w:p>
    <w:p w14:paraId="36107319" w14:textId="6BD42FF9" w:rsidR="00291163" w:rsidRDefault="00B4387E" w:rsidP="00291163">
      <w:pPr>
        <w:spacing w:line="360" w:lineRule="auto"/>
        <w:jc w:val="both"/>
        <w:rPr>
          <w:rFonts w:ascii="Invesco Interstate Light" w:eastAsia="MS Mincho" w:hAnsi="Invesco Interstate Light"/>
          <w:b/>
          <w:bCs/>
          <w:sz w:val="22"/>
          <w:szCs w:val="22"/>
          <w:lang w:eastAsia="ja-JP"/>
        </w:rPr>
      </w:pPr>
      <w:r>
        <w:rPr>
          <w:rFonts w:ascii="Invesco Interstate Light" w:eastAsia="MS Mincho" w:hAnsi="Invesco Interstate Light"/>
          <w:b/>
          <w:bCs/>
          <w:noProof/>
          <w:sz w:val="22"/>
          <w:szCs w:val="22"/>
          <w:lang w:eastAsia="ja-JP"/>
        </w:rPr>
        <w:drawing>
          <wp:inline distT="0" distB="0" distL="0" distR="0" wp14:anchorId="464156B2" wp14:editId="3319CC63">
            <wp:extent cx="6108065" cy="2287270"/>
            <wp:effectExtent l="0" t="0" r="6985" b="0"/>
            <wp:docPr id="101779575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95750" name="Obrázek 1017795750"/>
                    <pic:cNvPicPr/>
                  </pic:nvPicPr>
                  <pic:blipFill>
                    <a:blip r:embed="rId11">
                      <a:extLst>
                        <a:ext uri="{28A0092B-C50C-407E-A947-70E740481C1C}">
                          <a14:useLocalDpi xmlns:a14="http://schemas.microsoft.com/office/drawing/2010/main" val="0"/>
                        </a:ext>
                      </a:extLst>
                    </a:blip>
                    <a:stretch>
                      <a:fillRect/>
                    </a:stretch>
                  </pic:blipFill>
                  <pic:spPr>
                    <a:xfrm>
                      <a:off x="0" y="0"/>
                      <a:ext cx="6108065" cy="2287270"/>
                    </a:xfrm>
                    <a:prstGeom prst="rect">
                      <a:avLst/>
                    </a:prstGeom>
                  </pic:spPr>
                </pic:pic>
              </a:graphicData>
            </a:graphic>
          </wp:inline>
        </w:drawing>
      </w:r>
    </w:p>
    <w:p w14:paraId="30F43EF3" w14:textId="77777777" w:rsidR="00B4387E" w:rsidRDefault="00B4387E" w:rsidP="00B4387E">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t xml:space="preserve">Zdroj: </w:t>
      </w:r>
      <w:r w:rsidRPr="00B4387E">
        <w:rPr>
          <w:rFonts w:ascii="Invesco Interstate Light" w:eastAsia="MS Mincho" w:hAnsi="Invesco Interstate Light"/>
          <w:sz w:val="22"/>
          <w:szCs w:val="22"/>
          <w:lang w:eastAsia="ja-JP"/>
        </w:rPr>
        <w:t xml:space="preserve">Strategie a analýzy </w:t>
      </w:r>
      <w:proofErr w:type="spellStart"/>
      <w:r w:rsidRPr="00B4387E">
        <w:rPr>
          <w:rFonts w:ascii="Invesco Interstate Light" w:eastAsia="MS Mincho" w:hAnsi="Invesco Interstate Light"/>
          <w:sz w:val="22"/>
          <w:szCs w:val="22"/>
          <w:lang w:eastAsia="ja-JP"/>
        </w:rPr>
        <w:t>Invesco</w:t>
      </w:r>
      <w:proofErr w:type="spellEnd"/>
      <w:r>
        <w:rPr>
          <w:rFonts w:ascii="Invesco Interstate Light" w:eastAsia="MS Mincho" w:hAnsi="Invesco Interstate Light"/>
          <w:sz w:val="22"/>
          <w:szCs w:val="22"/>
          <w:lang w:eastAsia="ja-JP"/>
        </w:rPr>
        <w:t>, 2026</w:t>
      </w:r>
    </w:p>
    <w:p w14:paraId="4BD22FD2" w14:textId="1D0EBE5D" w:rsidR="00291163" w:rsidRPr="00FF3023" w:rsidRDefault="00291163" w:rsidP="00291163">
      <w:pPr>
        <w:spacing w:line="360" w:lineRule="auto"/>
        <w:jc w:val="both"/>
        <w:rPr>
          <w:rFonts w:ascii="Invesco Interstate Light" w:eastAsia="MS Mincho" w:hAnsi="Invesco Interstate Light"/>
          <w:b/>
          <w:bCs/>
          <w:sz w:val="22"/>
          <w:szCs w:val="22"/>
          <w:lang w:eastAsia="ja-JP"/>
        </w:rPr>
      </w:pPr>
    </w:p>
    <w:p w14:paraId="36D55DC8" w14:textId="77777777" w:rsidR="00DF6C0B" w:rsidRPr="00DF6C0B" w:rsidRDefault="00DF6C0B" w:rsidP="00DF6C0B">
      <w:pPr>
        <w:spacing w:line="360" w:lineRule="auto"/>
        <w:jc w:val="both"/>
        <w:rPr>
          <w:rFonts w:ascii="Invesco Interstate Light" w:eastAsia="MS Mincho" w:hAnsi="Invesco Interstate Light"/>
          <w:sz w:val="22"/>
          <w:szCs w:val="22"/>
          <w:lang w:eastAsia="ja-JP"/>
        </w:rPr>
      </w:pPr>
    </w:p>
    <w:p w14:paraId="3EC8AEBF" w14:textId="68D80215" w:rsidR="002133A5" w:rsidRDefault="002133A5" w:rsidP="00FF3023">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t>Analytici</w:t>
      </w:r>
      <w:r w:rsidR="007205BB">
        <w:rPr>
          <w:rFonts w:ascii="Invesco Interstate Light" w:eastAsia="MS Mincho" w:hAnsi="Invesco Interstate Light"/>
          <w:sz w:val="22"/>
          <w:szCs w:val="22"/>
          <w:lang w:eastAsia="ja-JP"/>
        </w:rPr>
        <w:t xml:space="preserve"> z </w:t>
      </w:r>
      <w:proofErr w:type="spellStart"/>
      <w:r w:rsidR="007205BB">
        <w:rPr>
          <w:rFonts w:ascii="Invesco Interstate Light" w:eastAsia="MS Mincho" w:hAnsi="Invesco Interstate Light"/>
          <w:sz w:val="22"/>
          <w:szCs w:val="22"/>
          <w:lang w:eastAsia="ja-JP"/>
        </w:rPr>
        <w:t>Invesca</w:t>
      </w:r>
      <w:proofErr w:type="spellEnd"/>
      <w:r w:rsidR="007205BB">
        <w:rPr>
          <w:rFonts w:ascii="Invesco Interstate Light" w:eastAsia="MS Mincho" w:hAnsi="Invesco Interstate Light"/>
          <w:sz w:val="22"/>
          <w:szCs w:val="22"/>
          <w:lang w:eastAsia="ja-JP"/>
        </w:rPr>
        <w:t xml:space="preserve"> dále vysvětlují: </w:t>
      </w:r>
    </w:p>
    <w:p w14:paraId="6440D0F0" w14:textId="26141F7A"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Existují však také faktory, které by mohly hospodářský růst brzdit. Domníváme se, že cyklus uvolňování měnové politiky ze strany centrálních bank skončil. Úrokové sazby sice nemusí růst agresivně, ale zpřísňování měnové politiky již probíhá – například v Japonsku (BOJ) a eurozóně (ECB) – a rizika existují i jinde, například </w:t>
      </w:r>
      <w:r w:rsidRPr="00FF3023">
        <w:rPr>
          <w:rFonts w:ascii="Invesco Interstate Light" w:eastAsia="MS Mincho" w:hAnsi="Invesco Interstate Light"/>
          <w:sz w:val="22"/>
          <w:szCs w:val="22"/>
          <w:lang w:eastAsia="ja-JP"/>
        </w:rPr>
        <w:lastRenderedPageBreak/>
        <w:t>v USA (Fed) a Indii (RBI). To by mohlo hospodářský růst zpomalit. Výnosy dlouhodobých dluhopisů vzrostly. Přestože se domníváme, že jde z velké části o odraz zlepšujících se ekonomických podmínek</w:t>
      </w:r>
      <w:r w:rsidR="002133A5">
        <w:rPr>
          <w:rFonts w:ascii="Invesco Interstate Light" w:eastAsia="MS Mincho" w:hAnsi="Invesco Interstate Light"/>
          <w:sz w:val="22"/>
          <w:szCs w:val="22"/>
          <w:lang w:eastAsia="ja-JP"/>
        </w:rPr>
        <w:t>. R</w:t>
      </w:r>
      <w:r w:rsidRPr="00FF3023">
        <w:rPr>
          <w:rFonts w:ascii="Invesco Interstate Light" w:eastAsia="MS Mincho" w:hAnsi="Invesco Interstate Light"/>
          <w:sz w:val="22"/>
          <w:szCs w:val="22"/>
          <w:lang w:eastAsia="ja-JP"/>
        </w:rPr>
        <w:t>ůst výnosů může souviset také s potřebami financování vlád a podniků, zejména společností vyvíjejících modely umělé inteligence a provozujících rozsáhlou cloudovou infrastrukturu (</w:t>
      </w:r>
      <w:proofErr w:type="spellStart"/>
      <w:r w:rsidRPr="00FF3023">
        <w:rPr>
          <w:rFonts w:ascii="Invesco Interstate Light" w:eastAsia="MS Mincho" w:hAnsi="Invesco Interstate Light"/>
          <w:sz w:val="22"/>
          <w:szCs w:val="22"/>
          <w:lang w:eastAsia="ja-JP"/>
        </w:rPr>
        <w:t>hyperscalers</w:t>
      </w:r>
      <w:proofErr w:type="spellEnd"/>
      <w:r w:rsidRPr="00FF3023">
        <w:rPr>
          <w:rFonts w:ascii="Invesco Interstate Light" w:eastAsia="MS Mincho" w:hAnsi="Invesco Interstate Light"/>
          <w:sz w:val="22"/>
          <w:szCs w:val="22"/>
          <w:lang w:eastAsia="ja-JP"/>
        </w:rPr>
        <w:t>). Jestliže výnosy očištěné o inflaci rostou v důsledku této poptávky po financování, může to vytěsňovat jiné formy úvěrování. Pokud se naše očekávání ohledně cen energií nenaplní a ceny zůstanou vysoké, obáváme se poklesu reálné kupní síly a spotřebních možností domácností.</w:t>
      </w:r>
    </w:p>
    <w:p w14:paraId="4F791E81"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259C843F"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Celkově nás povzbuzuje odolnost indexů nákupních manažerů (PMI), zejména ve zpracovatelském průmyslu, a nevidíme známky toho, že by se globální ekonomická expanze měla blížit ke konci. To nás utvrzuje v preferenci cyklických aktiv (viz graf 6, který znázorňuje aktiva, jež měla tendenci dosahovat nadprůměrné výkonnosti v jednotlivých fázích hospodářského cyklu).</w:t>
      </w:r>
    </w:p>
    <w:p w14:paraId="56694985" w14:textId="437809C8" w:rsidR="00291163" w:rsidRDefault="00291163" w:rsidP="00FF3023">
      <w:pPr>
        <w:spacing w:line="360" w:lineRule="auto"/>
        <w:jc w:val="both"/>
        <w:rPr>
          <w:rFonts w:ascii="Invesco Interstate Light" w:eastAsia="MS Mincho" w:hAnsi="Invesco Interstate Light"/>
          <w:sz w:val="22"/>
          <w:szCs w:val="22"/>
          <w:lang w:eastAsia="ja-JP"/>
        </w:rPr>
      </w:pPr>
    </w:p>
    <w:p w14:paraId="7388A56B"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008A1E70" w14:textId="77777777" w:rsid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Inflace nakonec začne klesat</w:t>
      </w:r>
    </w:p>
    <w:p w14:paraId="7397247B"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4DBE4EFB"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Inflace od roku 2022 klesá, což většině centrálních bank umožnilo uvolnit měnovou politiku. Domníváme se, že tento vývoj byl také jedním z důležitých faktorů silné výkonnosti finančních aktiv.</w:t>
      </w:r>
    </w:p>
    <w:p w14:paraId="4EE5E18F"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18E8D80A" w14:textId="32A39BAD"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Cesta k nižší inflaci se však již v některých zemích začala </w:t>
      </w:r>
      <w:r w:rsidRPr="00291163">
        <w:rPr>
          <w:rFonts w:ascii="Invesco Interstate Light" w:eastAsia="MS Mincho" w:hAnsi="Invesco Interstate Light"/>
          <w:sz w:val="22"/>
          <w:szCs w:val="22"/>
          <w:lang w:eastAsia="ja-JP"/>
        </w:rPr>
        <w:t>zadrhávat (viz graf 3) a</w:t>
      </w:r>
      <w:r w:rsidRPr="00FF3023">
        <w:rPr>
          <w:rFonts w:ascii="Invesco Interstate Light" w:eastAsia="MS Mincho" w:hAnsi="Invesco Interstate Light"/>
          <w:sz w:val="22"/>
          <w:szCs w:val="22"/>
          <w:lang w:eastAsia="ja-JP"/>
        </w:rPr>
        <w:t xml:space="preserve"> nyní ji ohrožuje růst cen energií související s uzavřením </w:t>
      </w:r>
      <w:proofErr w:type="spellStart"/>
      <w:r w:rsidRPr="00FF3023">
        <w:rPr>
          <w:rFonts w:ascii="Invesco Interstate Light" w:eastAsia="MS Mincho" w:hAnsi="Invesco Interstate Light"/>
          <w:sz w:val="22"/>
          <w:szCs w:val="22"/>
          <w:lang w:eastAsia="ja-JP"/>
        </w:rPr>
        <w:t>Hormuzského</w:t>
      </w:r>
      <w:proofErr w:type="spellEnd"/>
      <w:r w:rsidRPr="00FF3023">
        <w:rPr>
          <w:rFonts w:ascii="Invesco Interstate Light" w:eastAsia="MS Mincho" w:hAnsi="Invesco Interstate Light"/>
          <w:sz w:val="22"/>
          <w:szCs w:val="22"/>
          <w:lang w:eastAsia="ja-JP"/>
        </w:rPr>
        <w:t xml:space="preserve"> průlivu. Naštěstí bylo zrychlení celkové inflace v průběhu roku 2026 ve srovnání s vývojem v roce 2022 mírné (viz graf 3). Ceny ropy navíc od svých maxim z března a dubna klesly, zůstávají však volatilní a citlivě reagují na události na Blízkém východě.</w:t>
      </w:r>
    </w:p>
    <w:p w14:paraId="175E9890"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37B4C94E" w14:textId="3EF89A96"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Ceny zemního plynu v Evropě nadále rostou a mohou se dále zvyšovat, protože se země budou před zimou snažit doplnit své zásoby. Naproti tomu ceny zemního plynu v USA letos klesly – index S&amp;P GSCI Natural </w:t>
      </w:r>
      <w:proofErr w:type="spellStart"/>
      <w:r w:rsidRPr="00FF3023">
        <w:rPr>
          <w:rFonts w:ascii="Invesco Interstate Light" w:eastAsia="MS Mincho" w:hAnsi="Invesco Interstate Light"/>
          <w:sz w:val="22"/>
          <w:szCs w:val="22"/>
          <w:lang w:eastAsia="ja-JP"/>
        </w:rPr>
        <w:t>Gas</w:t>
      </w:r>
      <w:proofErr w:type="spellEnd"/>
      <w:r w:rsidRPr="00FF3023">
        <w:rPr>
          <w:rFonts w:ascii="Invesco Interstate Light" w:eastAsia="MS Mincho" w:hAnsi="Invesco Interstate Light"/>
          <w:sz w:val="22"/>
          <w:szCs w:val="22"/>
          <w:lang w:eastAsia="ja-JP"/>
        </w:rPr>
        <w:t xml:space="preserve"> Spot </w:t>
      </w:r>
      <w:proofErr w:type="spellStart"/>
      <w:r w:rsidRPr="00FF3023">
        <w:rPr>
          <w:rFonts w:ascii="Invesco Interstate Light" w:eastAsia="MS Mincho" w:hAnsi="Invesco Interstate Light"/>
          <w:sz w:val="22"/>
          <w:szCs w:val="22"/>
          <w:lang w:eastAsia="ja-JP"/>
        </w:rPr>
        <w:t>Price</w:t>
      </w:r>
      <w:proofErr w:type="spellEnd"/>
      <w:r w:rsidRPr="00FF3023">
        <w:rPr>
          <w:rFonts w:ascii="Invesco Interstate Light" w:eastAsia="MS Mincho" w:hAnsi="Invesco Interstate Light"/>
          <w:sz w:val="22"/>
          <w:szCs w:val="22"/>
          <w:lang w:eastAsia="ja-JP"/>
        </w:rPr>
        <w:t xml:space="preserve"> Index od začátku roku ztratil přibližně 20 %. To naznačuje, že se inflace v jednotlivých zemích může vyvíjet rozdílně. Evropa a Asie budou pravděpodobně čelit růstovým inflačním tlakům v důsledku zvyšujících se místních cen plynu. Dalším krátkodobým impulzem pro inflaci by mohl být růst cen potravin, pokud rozvíjející se klimatický jev El </w:t>
      </w:r>
      <w:proofErr w:type="spellStart"/>
      <w:r w:rsidRPr="00FF3023">
        <w:rPr>
          <w:rFonts w:ascii="Invesco Interstate Light" w:eastAsia="MS Mincho" w:hAnsi="Invesco Interstate Light"/>
          <w:sz w:val="22"/>
          <w:szCs w:val="22"/>
          <w:lang w:eastAsia="ja-JP"/>
        </w:rPr>
        <w:t>Niño</w:t>
      </w:r>
      <w:proofErr w:type="spellEnd"/>
      <w:r w:rsidRPr="00FF3023">
        <w:rPr>
          <w:rFonts w:ascii="Invesco Interstate Light" w:eastAsia="MS Mincho" w:hAnsi="Invesco Interstate Light"/>
          <w:sz w:val="22"/>
          <w:szCs w:val="22"/>
          <w:lang w:eastAsia="ja-JP"/>
        </w:rPr>
        <w:t xml:space="preserve"> negativně ovlivní globální sklizeň.</w:t>
      </w:r>
    </w:p>
    <w:p w14:paraId="2840F08B"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2D9B8EBA" w14:textId="0965F159"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lastRenderedPageBreak/>
        <w:t>Domníváme se, že centrální banky by se měly více zaměřovat na jádrovou inflaci, jejíž vývoj se v jednotlivých zemích liší. V ekonomikách, které sledujeme, není patrný jednoznačný růstový trend. Jádrová inflace měřená indexem spotřebitelských cen (CPI) se však v USA, eurozóně a Spojeném království stále pohybuje kolem 2,5 %. Ve Spojeném království přitom její sestupný trend nadále pokračuje.</w:t>
      </w:r>
    </w:p>
    <w:p w14:paraId="0F7F1BA3" w14:textId="5E0F3B72"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43BF43CC"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Rizika</w:t>
      </w:r>
    </w:p>
    <w:p w14:paraId="1B98B4DD"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Za největší riziko pro náš výhled považujeme dlouhodobé uzavření </w:t>
      </w:r>
      <w:proofErr w:type="spellStart"/>
      <w:r w:rsidRPr="00FF3023">
        <w:rPr>
          <w:rFonts w:ascii="Invesco Interstate Light" w:eastAsia="MS Mincho" w:hAnsi="Invesco Interstate Light"/>
          <w:sz w:val="22"/>
          <w:szCs w:val="22"/>
          <w:lang w:eastAsia="ja-JP"/>
        </w:rPr>
        <w:t>Hormuzského</w:t>
      </w:r>
      <w:proofErr w:type="spellEnd"/>
      <w:r w:rsidRPr="00FF3023">
        <w:rPr>
          <w:rFonts w:ascii="Invesco Interstate Light" w:eastAsia="MS Mincho" w:hAnsi="Invesco Interstate Light"/>
          <w:sz w:val="22"/>
          <w:szCs w:val="22"/>
          <w:lang w:eastAsia="ja-JP"/>
        </w:rPr>
        <w:t xml:space="preserve"> průlivu, například až do konce roku 2026 nebo začátku roku 2027. Obáváme se, že by takový vývoj mohl vést k nedostatku energií, omezení poptávky, výraznému růstu cen energií, vyšší inflaci a zpřísňování měnové politiky ze strany centrálních bank. Domníváme se, že takový scénář by měl negativní dopad na většinu tříd aktiv.</w:t>
      </w:r>
    </w:p>
    <w:p w14:paraId="22137FFB"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4C5F4E43"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Mezi další rizika patří mzdové tlaky v USA v důsledku napjatější situace na trhu práce, chyby centrálních bank při nastavování měnové politiky – zejména její zpřísňování v situaci, kdy to není opodstatněné – a omezení investičních výdajů do umělé inteligence ze strany provozovatelů rozsáhlé cloudové infrastruktury (</w:t>
      </w:r>
      <w:proofErr w:type="spellStart"/>
      <w:r w:rsidRPr="00FF3023">
        <w:rPr>
          <w:rFonts w:ascii="Invesco Interstate Light" w:eastAsia="MS Mincho" w:hAnsi="Invesco Interstate Light"/>
          <w:sz w:val="22"/>
          <w:szCs w:val="22"/>
          <w:lang w:eastAsia="ja-JP"/>
        </w:rPr>
        <w:t>hyperscalers</w:t>
      </w:r>
      <w:proofErr w:type="spellEnd"/>
      <w:r w:rsidRPr="00FF3023">
        <w:rPr>
          <w:rFonts w:ascii="Invesco Interstate Light" w:eastAsia="MS Mincho" w:hAnsi="Invesco Interstate Light"/>
          <w:sz w:val="22"/>
          <w:szCs w:val="22"/>
          <w:lang w:eastAsia="ja-JP"/>
        </w:rPr>
        <w:t>).</w:t>
      </w:r>
    </w:p>
    <w:p w14:paraId="604CD34A"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7F4A4138" w14:textId="45DC6ABE" w:rsidR="00FF3023" w:rsidRDefault="009C1B64" w:rsidP="00FF3023">
      <w:pPr>
        <w:spacing w:line="360" w:lineRule="auto"/>
        <w:jc w:val="both"/>
        <w:rPr>
          <w:rFonts w:ascii="Invesco Interstate Light" w:eastAsia="MS Mincho" w:hAnsi="Invesco Interstate Light"/>
          <w:b/>
          <w:bCs/>
          <w:sz w:val="22"/>
          <w:szCs w:val="22"/>
          <w:lang w:eastAsia="ja-JP"/>
        </w:rPr>
      </w:pPr>
      <w:r>
        <w:rPr>
          <w:rFonts w:ascii="Invesco Interstate Light" w:eastAsia="MS Mincho" w:hAnsi="Invesco Interstate Light"/>
          <w:b/>
          <w:bCs/>
          <w:sz w:val="22"/>
          <w:szCs w:val="22"/>
          <w:lang w:eastAsia="ja-JP"/>
        </w:rPr>
        <w:t>Okolnosti h</w:t>
      </w:r>
      <w:r w:rsidR="00FF3023" w:rsidRPr="00FF3023">
        <w:rPr>
          <w:rFonts w:ascii="Invesco Interstate Light" w:eastAsia="MS Mincho" w:hAnsi="Invesco Interstate Light"/>
          <w:b/>
          <w:bCs/>
          <w:sz w:val="22"/>
          <w:szCs w:val="22"/>
          <w:lang w:eastAsia="ja-JP"/>
        </w:rPr>
        <w:t>ospodářsk</w:t>
      </w:r>
      <w:r>
        <w:rPr>
          <w:rFonts w:ascii="Invesco Interstate Light" w:eastAsia="MS Mincho" w:hAnsi="Invesco Interstate Light"/>
          <w:b/>
          <w:bCs/>
          <w:sz w:val="22"/>
          <w:szCs w:val="22"/>
          <w:lang w:eastAsia="ja-JP"/>
        </w:rPr>
        <w:t>é</w:t>
      </w:r>
      <w:r w:rsidR="00FF3023" w:rsidRPr="00FF3023">
        <w:rPr>
          <w:rFonts w:ascii="Invesco Interstate Light" w:eastAsia="MS Mincho" w:hAnsi="Invesco Interstate Light"/>
          <w:b/>
          <w:bCs/>
          <w:sz w:val="22"/>
          <w:szCs w:val="22"/>
          <w:lang w:eastAsia="ja-JP"/>
        </w:rPr>
        <w:t xml:space="preserve"> politik</w:t>
      </w:r>
      <w:r>
        <w:rPr>
          <w:rFonts w:ascii="Invesco Interstate Light" w:eastAsia="MS Mincho" w:hAnsi="Invesco Interstate Light"/>
          <w:b/>
          <w:bCs/>
          <w:sz w:val="22"/>
          <w:szCs w:val="22"/>
          <w:lang w:eastAsia="ja-JP"/>
        </w:rPr>
        <w:t xml:space="preserve">y </w:t>
      </w:r>
      <w:r w:rsidR="00FF3023" w:rsidRPr="00FF3023">
        <w:rPr>
          <w:rFonts w:ascii="Invesco Interstate Light" w:eastAsia="MS Mincho" w:hAnsi="Invesco Interstate Light"/>
          <w:b/>
          <w:bCs/>
          <w:sz w:val="22"/>
          <w:szCs w:val="22"/>
          <w:lang w:eastAsia="ja-JP"/>
        </w:rPr>
        <w:t>j</w:t>
      </w:r>
      <w:r>
        <w:rPr>
          <w:rFonts w:ascii="Invesco Interstate Light" w:eastAsia="MS Mincho" w:hAnsi="Invesco Interstate Light"/>
          <w:b/>
          <w:bCs/>
          <w:sz w:val="22"/>
          <w:szCs w:val="22"/>
          <w:lang w:eastAsia="ja-JP"/>
        </w:rPr>
        <w:t>sou</w:t>
      </w:r>
      <w:r w:rsidR="00FF3023" w:rsidRPr="00FF3023">
        <w:rPr>
          <w:rFonts w:ascii="Invesco Interstate Light" w:eastAsia="MS Mincho" w:hAnsi="Invesco Interstate Light"/>
          <w:b/>
          <w:bCs/>
          <w:sz w:val="22"/>
          <w:szCs w:val="22"/>
          <w:lang w:eastAsia="ja-JP"/>
        </w:rPr>
        <w:t xml:space="preserve"> však nejednoznačn</w:t>
      </w:r>
      <w:r>
        <w:rPr>
          <w:rFonts w:ascii="Invesco Interstate Light" w:eastAsia="MS Mincho" w:hAnsi="Invesco Interstate Light"/>
          <w:b/>
          <w:bCs/>
          <w:sz w:val="22"/>
          <w:szCs w:val="22"/>
          <w:lang w:eastAsia="ja-JP"/>
        </w:rPr>
        <w:t>é</w:t>
      </w:r>
    </w:p>
    <w:p w14:paraId="46590EEA"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5EB4FC39" w14:textId="77777777" w:rsid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Cyklus měnové politiky se posunul ke zpřísňování</w:t>
      </w:r>
    </w:p>
    <w:p w14:paraId="0781C043"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603D12B6"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Domníváme se, že růst cen energií změnil výhled úrokových sazeb v mnoha zemích. Převládající směřování měnové politiky se tak posouvá od uvolňování, které jsme pozorovali v posledních letech, ke zpřísňování.</w:t>
      </w:r>
    </w:p>
    <w:p w14:paraId="2203C190" w14:textId="6AAFA1EA"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Mezi hlavními centrálními bankami podle nás nejvíce potřebuje zvýšit úrokové sazby japonská centrální banka (BOJ). Její základní úroková sazba činí stále pouze 1,00 %, zatímco jádrová inflace se pohybuje blíže ke 2 % (viz graf 4). Vzhledem k přetrvávajícímu tlaku na japonskou měnu a rostoucímu tlaku americké administrativy na BOJ, aby měnovou politiku zpřísnila, očekáváme během příštích 12 měsíců tři zvýšení úrokových sazeb.</w:t>
      </w:r>
    </w:p>
    <w:p w14:paraId="450DAAB7"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052564F1" w14:textId="060719EB"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Projev Kevina </w:t>
      </w:r>
      <w:proofErr w:type="spellStart"/>
      <w:r w:rsidRPr="00FF3023">
        <w:rPr>
          <w:rFonts w:ascii="Invesco Interstate Light" w:eastAsia="MS Mincho" w:hAnsi="Invesco Interstate Light"/>
          <w:sz w:val="22"/>
          <w:szCs w:val="22"/>
          <w:lang w:eastAsia="ja-JP"/>
        </w:rPr>
        <w:t>Warshe</w:t>
      </w:r>
      <w:proofErr w:type="spellEnd"/>
      <w:r w:rsidRPr="00FF3023">
        <w:rPr>
          <w:rFonts w:ascii="Invesco Interstate Light" w:eastAsia="MS Mincho" w:hAnsi="Invesco Interstate Light"/>
          <w:sz w:val="22"/>
          <w:szCs w:val="22"/>
          <w:lang w:eastAsia="ja-JP"/>
        </w:rPr>
        <w:t xml:space="preserve"> v Jackson Hole kladl důraz na návrat inflace k cílové hodnotě. Zdá se, že to posílilo přesvědčení trhu, že zvýšení úrokových sazeb amerického </w:t>
      </w:r>
      <w:proofErr w:type="spellStart"/>
      <w:r w:rsidRPr="00FF3023">
        <w:rPr>
          <w:rFonts w:ascii="Invesco Interstate Light" w:eastAsia="MS Mincho" w:hAnsi="Invesco Interstate Light"/>
          <w:sz w:val="22"/>
          <w:szCs w:val="22"/>
          <w:lang w:eastAsia="ja-JP"/>
        </w:rPr>
        <w:t>Fedu</w:t>
      </w:r>
      <w:proofErr w:type="spellEnd"/>
      <w:r w:rsidRPr="00FF3023">
        <w:rPr>
          <w:rFonts w:ascii="Invesco Interstate Light" w:eastAsia="MS Mincho" w:hAnsi="Invesco Interstate Light"/>
          <w:sz w:val="22"/>
          <w:szCs w:val="22"/>
          <w:lang w:eastAsia="ja-JP"/>
        </w:rPr>
        <w:t xml:space="preserve"> je bezprostředně na pořadu dne. Vzhledem k tomu, že jádrová inflace měřená indexem PCE dosáhla v červenci 3,3 %, může být americká centrální banka </w:t>
      </w:r>
      <w:r w:rsidRPr="00FF3023">
        <w:rPr>
          <w:rFonts w:ascii="Invesco Interstate Light" w:eastAsia="MS Mincho" w:hAnsi="Invesco Interstate Light"/>
          <w:sz w:val="22"/>
          <w:szCs w:val="22"/>
          <w:lang w:eastAsia="ja-JP"/>
        </w:rPr>
        <w:lastRenderedPageBreak/>
        <w:t xml:space="preserve">v pokušení měnovou politiku zpřísnit. Tato hodnota jádrové inflace se však od dubna nezměnila a preferovaný ukazatel </w:t>
      </w:r>
      <w:proofErr w:type="spellStart"/>
      <w:r w:rsidRPr="00FF3023">
        <w:rPr>
          <w:rFonts w:ascii="Invesco Interstate Light" w:eastAsia="MS Mincho" w:hAnsi="Invesco Interstate Light"/>
          <w:sz w:val="22"/>
          <w:szCs w:val="22"/>
          <w:lang w:eastAsia="ja-JP"/>
        </w:rPr>
        <w:t>Fedu</w:t>
      </w:r>
      <w:proofErr w:type="spellEnd"/>
      <w:r w:rsidRPr="00FF3023">
        <w:rPr>
          <w:rFonts w:ascii="Invesco Interstate Light" w:eastAsia="MS Mincho" w:hAnsi="Invesco Interstate Light"/>
          <w:sz w:val="22"/>
          <w:szCs w:val="22"/>
          <w:lang w:eastAsia="ja-JP"/>
        </w:rPr>
        <w:t xml:space="preserve"> v podobě jádrové inflace PCE očištěné o extrémní hodnoty (</w:t>
      </w:r>
      <w:proofErr w:type="spellStart"/>
      <w:r w:rsidRPr="00FF3023">
        <w:rPr>
          <w:rFonts w:ascii="Invesco Interstate Light" w:eastAsia="MS Mincho" w:hAnsi="Invesco Interstate Light"/>
          <w:sz w:val="22"/>
          <w:szCs w:val="22"/>
          <w:lang w:eastAsia="ja-JP"/>
        </w:rPr>
        <w:t>trimmed</w:t>
      </w:r>
      <w:proofErr w:type="spellEnd"/>
      <w:r w:rsidRPr="00FF3023">
        <w:rPr>
          <w:rFonts w:ascii="Invesco Interstate Light" w:eastAsia="MS Mincho" w:hAnsi="Invesco Interstate Light"/>
          <w:sz w:val="22"/>
          <w:szCs w:val="22"/>
          <w:lang w:eastAsia="ja-JP"/>
        </w:rPr>
        <w:t xml:space="preserve"> </w:t>
      </w:r>
      <w:proofErr w:type="spellStart"/>
      <w:r w:rsidRPr="00FF3023">
        <w:rPr>
          <w:rFonts w:ascii="Invesco Interstate Light" w:eastAsia="MS Mincho" w:hAnsi="Invesco Interstate Light"/>
          <w:sz w:val="22"/>
          <w:szCs w:val="22"/>
          <w:lang w:eastAsia="ja-JP"/>
        </w:rPr>
        <w:t>mean</w:t>
      </w:r>
      <w:proofErr w:type="spellEnd"/>
      <w:r w:rsidRPr="00FF3023">
        <w:rPr>
          <w:rFonts w:ascii="Invesco Interstate Light" w:eastAsia="MS Mincho" w:hAnsi="Invesco Interstate Light"/>
          <w:sz w:val="22"/>
          <w:szCs w:val="22"/>
          <w:lang w:eastAsia="ja-JP"/>
        </w:rPr>
        <w:t xml:space="preserve"> PCE) dosahuje 2,3 %. Debata uvnitř Federálního výboru pro volný trh (FOMC) tak bude pravděpodobně „zajímavá“. Nejsme přesvědčeni, že Fed potřebuje sazby zvyšovat, uznáváme však, že riziko zpřísnění měnové politiky je nyní vyšší, jak ostatně naznačují očekávání trhu.</w:t>
      </w:r>
    </w:p>
    <w:p w14:paraId="16750DCF" w14:textId="3C44573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069E2ACD"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Evropská centrální banka (ECB) zvýšila úrokové sazby v červnu a září. Tržní očekávání budoucího vývoje sazeb ECB naznačují, že by během příštích 12 měsíců mohlo dojít až ke třem dalším zvýšením (podle výpočtů agentury Reuters k 10. září 2026). S tímto scénářem se neztotožňujeme a domníváme se, že sazby ECB zůstanou za 12 měsíců na současné úrovni. Jádrová inflace totiž není příliš vzdálená cílové hodnotě a hospodářský růst zůstává v jednotlivých ekonomikách eurozóny nerovnoměrný.</w:t>
      </w:r>
    </w:p>
    <w:p w14:paraId="3A3164FB"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7CDCA541"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Lišíme se také od tržního konsenzu ohledně vývoje sazeb britské centrální banky (BOE). Tržní očekávání naznačují, že během příštích 12 měsíců dojde nejméně ke dvěma zvýšením sazeb, zatímco my očekáváme dvě snížení. Náš výhled vychází ze skutečnosti, že inflační tlaky v domácí ekonomice nadále polevují.</w:t>
      </w:r>
    </w:p>
    <w:p w14:paraId="37BCA3F4"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Indická ekonomika silně roste a očekáváme, že indická centrální banka (RBI) během příštích 12 měsíců zvýší úrokové sazby dvakrát. V Číně jsou úrokové sazby již nyní nízké, a proto předpokládáme, že podpora hospodářství bude mít podobu spíše snižování sazeb povinných minimálních rezerv a případně fiskálních opatření.</w:t>
      </w:r>
    </w:p>
    <w:p w14:paraId="3D85F867"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5AEA8C80"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Graf 4 – Očekávaná změna základních úrokových sazeb centrálních bank během příštích 12 měsíců (v procentních bodech)</w:t>
      </w:r>
    </w:p>
    <w:p w14:paraId="4E1147CB" w14:textId="376FDFCA" w:rsidR="00B4387E" w:rsidRDefault="00B4387E" w:rsidP="00B4387E">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59E92990" wp14:editId="42361C9B">
            <wp:extent cx="6108065" cy="2515870"/>
            <wp:effectExtent l="0" t="0" r="6985" b="0"/>
            <wp:docPr id="32264525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45253" name="Obrázek 322645253"/>
                    <pic:cNvPicPr/>
                  </pic:nvPicPr>
                  <pic:blipFill>
                    <a:blip r:embed="rId12">
                      <a:extLst>
                        <a:ext uri="{28A0092B-C50C-407E-A947-70E740481C1C}">
                          <a14:useLocalDpi xmlns:a14="http://schemas.microsoft.com/office/drawing/2010/main" val="0"/>
                        </a:ext>
                      </a:extLst>
                    </a:blip>
                    <a:stretch>
                      <a:fillRect/>
                    </a:stretch>
                  </pic:blipFill>
                  <pic:spPr>
                    <a:xfrm>
                      <a:off x="0" y="0"/>
                      <a:ext cx="6108065" cy="2515870"/>
                    </a:xfrm>
                    <a:prstGeom prst="rect">
                      <a:avLst/>
                    </a:prstGeom>
                  </pic:spPr>
                </pic:pic>
              </a:graphicData>
            </a:graphic>
          </wp:inline>
        </w:drawing>
      </w:r>
      <w:r>
        <w:rPr>
          <w:rFonts w:ascii="Invesco Interstate Light" w:eastAsia="MS Mincho" w:hAnsi="Invesco Interstate Light"/>
          <w:sz w:val="22"/>
          <w:szCs w:val="22"/>
          <w:lang w:eastAsia="ja-JP"/>
        </w:rPr>
        <w:t xml:space="preserve">Zdroj: </w:t>
      </w:r>
      <w:r w:rsidRPr="00B4387E">
        <w:rPr>
          <w:rFonts w:ascii="Invesco Interstate Light" w:eastAsia="MS Mincho" w:hAnsi="Invesco Interstate Light"/>
          <w:sz w:val="22"/>
          <w:szCs w:val="22"/>
          <w:lang w:eastAsia="ja-JP"/>
        </w:rPr>
        <w:t xml:space="preserve">Strategie a analýzy </w:t>
      </w:r>
      <w:proofErr w:type="spellStart"/>
      <w:r w:rsidRPr="00B4387E">
        <w:rPr>
          <w:rFonts w:ascii="Invesco Interstate Light" w:eastAsia="MS Mincho" w:hAnsi="Invesco Interstate Light"/>
          <w:sz w:val="22"/>
          <w:szCs w:val="22"/>
          <w:lang w:eastAsia="ja-JP"/>
        </w:rPr>
        <w:t>Invesco</w:t>
      </w:r>
      <w:proofErr w:type="spellEnd"/>
      <w:r>
        <w:rPr>
          <w:rFonts w:ascii="Invesco Interstate Light" w:eastAsia="MS Mincho" w:hAnsi="Invesco Interstate Light"/>
          <w:sz w:val="22"/>
          <w:szCs w:val="22"/>
          <w:lang w:eastAsia="ja-JP"/>
        </w:rPr>
        <w:t>, 2026</w:t>
      </w:r>
    </w:p>
    <w:p w14:paraId="67132048" w14:textId="48E1A743"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731CE190"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Hodnoty z grafu v pořadí podle uvedených centrálních bank:</w:t>
      </w:r>
    </w:p>
    <w:p w14:paraId="65D82EAE"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9"/>
        <w:gridCol w:w="2297"/>
      </w:tblGrid>
      <w:tr w:rsidR="00FF3023" w:rsidRPr="00FF3023" w14:paraId="75D1F1AA" w14:textId="77777777" w:rsidTr="00C40014">
        <w:trPr>
          <w:tblCellSpacing w:w="15" w:type="dxa"/>
        </w:trPr>
        <w:tc>
          <w:tcPr>
            <w:tcW w:w="0" w:type="auto"/>
            <w:vAlign w:val="center"/>
            <w:hideMark/>
          </w:tcPr>
          <w:p w14:paraId="36065410"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Centrální banka</w:t>
            </w:r>
          </w:p>
        </w:tc>
        <w:tc>
          <w:tcPr>
            <w:tcW w:w="0" w:type="auto"/>
            <w:vAlign w:val="center"/>
            <w:hideMark/>
          </w:tcPr>
          <w:p w14:paraId="2BD3C24E"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Očekávaná změna sazeb</w:t>
            </w:r>
          </w:p>
        </w:tc>
      </w:tr>
      <w:tr w:rsidR="00FF3023" w:rsidRPr="00FF3023" w14:paraId="1502F645" w14:textId="77777777" w:rsidTr="00C40014">
        <w:trPr>
          <w:tblCellSpacing w:w="15" w:type="dxa"/>
        </w:trPr>
        <w:tc>
          <w:tcPr>
            <w:tcW w:w="0" w:type="auto"/>
            <w:vAlign w:val="center"/>
            <w:hideMark/>
          </w:tcPr>
          <w:p w14:paraId="123103F7"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BOJ – Japonsko</w:t>
            </w:r>
          </w:p>
        </w:tc>
        <w:tc>
          <w:tcPr>
            <w:tcW w:w="0" w:type="auto"/>
            <w:vAlign w:val="center"/>
            <w:hideMark/>
          </w:tcPr>
          <w:p w14:paraId="7D71E249"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+1,00</w:t>
            </w:r>
          </w:p>
        </w:tc>
      </w:tr>
      <w:tr w:rsidR="00FF3023" w:rsidRPr="00FF3023" w14:paraId="7A4345A3" w14:textId="77777777" w:rsidTr="00C40014">
        <w:trPr>
          <w:tblCellSpacing w:w="15" w:type="dxa"/>
        </w:trPr>
        <w:tc>
          <w:tcPr>
            <w:tcW w:w="0" w:type="auto"/>
            <w:vAlign w:val="center"/>
            <w:hideMark/>
          </w:tcPr>
          <w:p w14:paraId="2DAE7056"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RBI – Indie</w:t>
            </w:r>
          </w:p>
        </w:tc>
        <w:tc>
          <w:tcPr>
            <w:tcW w:w="0" w:type="auto"/>
            <w:vAlign w:val="center"/>
            <w:hideMark/>
          </w:tcPr>
          <w:p w14:paraId="181860B9"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+0,75</w:t>
            </w:r>
          </w:p>
        </w:tc>
      </w:tr>
      <w:tr w:rsidR="00FF3023" w:rsidRPr="00FF3023" w14:paraId="7F9DFFF5" w14:textId="77777777" w:rsidTr="00C40014">
        <w:trPr>
          <w:tblCellSpacing w:w="15" w:type="dxa"/>
        </w:trPr>
        <w:tc>
          <w:tcPr>
            <w:tcW w:w="0" w:type="auto"/>
            <w:vAlign w:val="center"/>
            <w:hideMark/>
          </w:tcPr>
          <w:p w14:paraId="01D37368"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Fed – USA</w:t>
            </w:r>
          </w:p>
        </w:tc>
        <w:tc>
          <w:tcPr>
            <w:tcW w:w="0" w:type="auto"/>
            <w:vAlign w:val="center"/>
            <w:hideMark/>
          </w:tcPr>
          <w:p w14:paraId="27FF138E"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+0,50</w:t>
            </w:r>
          </w:p>
        </w:tc>
      </w:tr>
      <w:tr w:rsidR="00FF3023" w:rsidRPr="00FF3023" w14:paraId="22712354" w14:textId="77777777" w:rsidTr="00C40014">
        <w:trPr>
          <w:tblCellSpacing w:w="15" w:type="dxa"/>
        </w:trPr>
        <w:tc>
          <w:tcPr>
            <w:tcW w:w="0" w:type="auto"/>
            <w:vAlign w:val="center"/>
            <w:hideMark/>
          </w:tcPr>
          <w:p w14:paraId="6B7154E2"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ECB – eurozóna</w:t>
            </w:r>
          </w:p>
        </w:tc>
        <w:tc>
          <w:tcPr>
            <w:tcW w:w="0" w:type="auto"/>
            <w:vAlign w:val="center"/>
            <w:hideMark/>
          </w:tcPr>
          <w:p w14:paraId="75D25E1B"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+0,25</w:t>
            </w:r>
          </w:p>
        </w:tc>
      </w:tr>
      <w:tr w:rsidR="00FF3023" w:rsidRPr="00FF3023" w14:paraId="35C78FCF" w14:textId="77777777" w:rsidTr="00C40014">
        <w:trPr>
          <w:tblCellSpacing w:w="15" w:type="dxa"/>
        </w:trPr>
        <w:tc>
          <w:tcPr>
            <w:tcW w:w="0" w:type="auto"/>
            <w:vAlign w:val="center"/>
            <w:hideMark/>
          </w:tcPr>
          <w:p w14:paraId="6965082F"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PBOC – Čína</w:t>
            </w:r>
          </w:p>
        </w:tc>
        <w:tc>
          <w:tcPr>
            <w:tcW w:w="0" w:type="auto"/>
            <w:vAlign w:val="center"/>
            <w:hideMark/>
          </w:tcPr>
          <w:p w14:paraId="63F7D587"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0,00</w:t>
            </w:r>
          </w:p>
        </w:tc>
      </w:tr>
    </w:tbl>
    <w:p w14:paraId="43E4C407"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Poznámka: V dodaném grafu následují také hodnoty −0,25, −0,50 a −0,75, jejichž přiřazení k jednotlivým kategoriím není z textového výpisu zcela zřejmé.</w:t>
      </w:r>
    </w:p>
    <w:p w14:paraId="258293D3"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3A41137D"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Fiskální podpora je nerovnoměrná</w:t>
      </w:r>
    </w:p>
    <w:p w14:paraId="6D957F2B"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Projekce fiskálních impulzů uvedené v grafu 5 vykreslují pro příští dva roky nejednoznačný obrázek. Na jedné straně roste ve světě tlak na zvýšení vojenských výdajů, na druhé straně mnoho zemí potřebuje konsolidovat veřejné finance.</w:t>
      </w:r>
    </w:p>
    <w:p w14:paraId="161070E7"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1B3C8FE1"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Mezi zeměmi, na které se zaměřujeme, podle nás bude i nadále udávat směr Japonsko. Premiérka </w:t>
      </w:r>
      <w:proofErr w:type="spellStart"/>
      <w:r w:rsidRPr="00FF3023">
        <w:rPr>
          <w:rFonts w:ascii="Invesco Interstate Light" w:eastAsia="MS Mincho" w:hAnsi="Invesco Interstate Light"/>
          <w:sz w:val="22"/>
          <w:szCs w:val="22"/>
          <w:lang w:eastAsia="ja-JP"/>
        </w:rPr>
        <w:t>Takaichiová</w:t>
      </w:r>
      <w:proofErr w:type="spellEnd"/>
      <w:r w:rsidRPr="00FF3023">
        <w:rPr>
          <w:rFonts w:ascii="Invesco Interstate Light" w:eastAsia="MS Mincho" w:hAnsi="Invesco Interstate Light"/>
          <w:sz w:val="22"/>
          <w:szCs w:val="22"/>
          <w:lang w:eastAsia="ja-JP"/>
        </w:rPr>
        <w:t xml:space="preserve"> nyní disponuje ústavní většinou v dolní komoře parlamentu, což jí umožňuje prosazovat </w:t>
      </w:r>
      <w:r w:rsidRPr="00FF3023">
        <w:rPr>
          <w:rFonts w:ascii="Invesco Interstate Light" w:eastAsia="MS Mincho" w:hAnsi="Invesco Interstate Light"/>
          <w:sz w:val="22"/>
          <w:szCs w:val="22"/>
          <w:lang w:eastAsia="ja-JP"/>
        </w:rPr>
        <w:lastRenderedPageBreak/>
        <w:t>zamýšlený fiskální program. Ten zahrnuje výdaje na obranu, podporu technologického sektoru a pomoc spotřebitelům, včetně energetických dotací a dočasného snížení spotřební daně na potraviny od dubna 2027. Očekáváme, že tato opatření podpoří ekonomiku ve druhé polovině roku 2026 a v roce 2027.</w:t>
      </w:r>
    </w:p>
    <w:p w14:paraId="7D687CEE"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V Číně by měla fiskální politika zůstat mírně podpůrná, přičemž se bude nadále zaměřovat na strategická odvětví a modernizaci průmyslu.</w:t>
      </w:r>
    </w:p>
    <w:p w14:paraId="0A096D6A"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2C8DC0A1"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Německo sice zahájilo rozsáhlý program fiskální podpory a většina evropských zemí zvyšuje vojenské výdaje, celkový fiskální stimul v eurozóně však zůstává omezený. Důvodem je očekávaná fiskální konsolidace ve Francii, Itálii a Španělsku.</w:t>
      </w:r>
    </w:p>
    <w:p w14:paraId="5D4A42F1"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5523B83A"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Také britská vláda se snaží plnit cíle snižování veřejného dluhu a zároveň urychlit navyšování vojenských výdajů. V USA sice rozpočet na rok 2026 zabránil některým dříve plánovaným zvýšením daní, žádný fiskální impuls však neočekáváme.</w:t>
      </w:r>
    </w:p>
    <w:p w14:paraId="113E1381"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565F7DCF"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Rizika</w:t>
      </w:r>
    </w:p>
    <w:p w14:paraId="286A47E4"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V souvislosti s výše uvedeným výhledem vidíme tři hlavní rizika.</w:t>
      </w:r>
    </w:p>
    <w:p w14:paraId="1054B991"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Zaprvé, dlouhotrvající vojenský konflikt na Blízkém východě by mohl vést k dlouhodobému růstu cen energií a inflace, což by přimělo většinu centrálních bank k agresivnímu zpřísňování měnové politiky.</w:t>
      </w:r>
    </w:p>
    <w:p w14:paraId="1D5FAAF2"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Zadruhé, politická nestabilita v Německu by mohla oslabit ochotu realizovat celý fiskální program, který představil kancléř </w:t>
      </w:r>
      <w:proofErr w:type="spellStart"/>
      <w:r w:rsidRPr="00FF3023">
        <w:rPr>
          <w:rFonts w:ascii="Invesco Interstate Light" w:eastAsia="MS Mincho" w:hAnsi="Invesco Interstate Light"/>
          <w:sz w:val="22"/>
          <w:szCs w:val="22"/>
          <w:lang w:eastAsia="ja-JP"/>
        </w:rPr>
        <w:t>Merz</w:t>
      </w:r>
      <w:proofErr w:type="spellEnd"/>
      <w:r w:rsidRPr="00FF3023">
        <w:rPr>
          <w:rFonts w:ascii="Invesco Interstate Light" w:eastAsia="MS Mincho" w:hAnsi="Invesco Interstate Light"/>
          <w:sz w:val="22"/>
          <w:szCs w:val="22"/>
          <w:lang w:eastAsia="ja-JP"/>
        </w:rPr>
        <w:t>.</w:t>
      </w:r>
    </w:p>
    <w:p w14:paraId="404C3E50"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7A2DD363"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A konečně, vysoká úroveň veřejného zadlužení, značné rozpočtové deficity v některých zemích a pokračující růst dlouhodobých výnosů by mohly vynutit fiskální konsolidaci.</w:t>
      </w:r>
    </w:p>
    <w:p w14:paraId="2C620728"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4B137620" w14:textId="77777777" w:rsid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Od makroekonomiky k trhům – preference cyklických aktiv</w:t>
      </w:r>
    </w:p>
    <w:p w14:paraId="2E3D0426"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44A77886" w14:textId="77777777" w:rsid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Fáze expanze nahrává cyklickým aktivům</w:t>
      </w:r>
    </w:p>
    <w:p w14:paraId="081DE615"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67C790C8"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Na začátku roku jsme byli přesvědčeni, že globální ekonomika zrychlí svůj růst, a proto jsme upřednostňovali cyklická aktiva. Tento přístup jsme částečně vyvažovali preferencí aktiv s krátkou durací, jako jsou CLO s </w:t>
      </w:r>
      <w:r w:rsidRPr="00FF3023">
        <w:rPr>
          <w:rFonts w:ascii="Invesco Interstate Light" w:eastAsia="MS Mincho" w:hAnsi="Invesco Interstate Light"/>
          <w:sz w:val="22"/>
          <w:szCs w:val="22"/>
          <w:lang w:eastAsia="ja-JP"/>
        </w:rPr>
        <w:lastRenderedPageBreak/>
        <w:t>ratingem AAA a bankovní úvěry. Zároveň jsme pochybovali, že se podaří zopakovat plošně silnou výkonnost aktiv z roku 2025.</w:t>
      </w:r>
    </w:p>
    <w:p w14:paraId="55BACF34" w14:textId="77777777" w:rsidR="00FF3023" w:rsidRDefault="00FF3023" w:rsidP="00FF3023">
      <w:pPr>
        <w:spacing w:line="360" w:lineRule="auto"/>
        <w:jc w:val="both"/>
        <w:rPr>
          <w:rFonts w:ascii="Invesco Interstate Light" w:eastAsia="MS Mincho" w:hAnsi="Invesco Interstate Light"/>
          <w:sz w:val="22"/>
          <w:szCs w:val="22"/>
          <w:lang w:eastAsia="ja-JP"/>
        </w:rPr>
      </w:pPr>
    </w:p>
    <w:p w14:paraId="30D2CC54"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6E0A3C45"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Uzavření </w:t>
      </w:r>
      <w:proofErr w:type="spellStart"/>
      <w:r w:rsidRPr="00FF3023">
        <w:rPr>
          <w:rFonts w:ascii="Invesco Interstate Light" w:eastAsia="MS Mincho" w:hAnsi="Invesco Interstate Light"/>
          <w:sz w:val="22"/>
          <w:szCs w:val="22"/>
          <w:lang w:eastAsia="ja-JP"/>
        </w:rPr>
        <w:t>Hormuzského</w:t>
      </w:r>
      <w:proofErr w:type="spellEnd"/>
      <w:r w:rsidRPr="00FF3023">
        <w:rPr>
          <w:rFonts w:ascii="Invesco Interstate Light" w:eastAsia="MS Mincho" w:hAnsi="Invesco Interstate Light"/>
          <w:sz w:val="22"/>
          <w:szCs w:val="22"/>
          <w:lang w:eastAsia="ja-JP"/>
        </w:rPr>
        <w:t xml:space="preserve"> průlivu a následný růst cen energií mohly tento ekonomický scénář ohrozit. Americká i světová ekonomika však prokázaly odolnost. Výhled základních úrokových sazeb centrálních bank nyní sice vypadá méně příznivě, než jsme si na začátku roku představovali, a vyšší celková inflace snižuje reálné příjmy domácností. Přesto nadále očekáváme, že se ceny energií postupně vrátí na nižší úrovně. Globální dodávky energií byly uzavřením </w:t>
      </w:r>
      <w:proofErr w:type="spellStart"/>
      <w:r w:rsidRPr="00FF3023">
        <w:rPr>
          <w:rFonts w:ascii="Invesco Interstate Light" w:eastAsia="MS Mincho" w:hAnsi="Invesco Interstate Light"/>
          <w:sz w:val="22"/>
          <w:szCs w:val="22"/>
          <w:lang w:eastAsia="ja-JP"/>
        </w:rPr>
        <w:t>Hormuzského</w:t>
      </w:r>
      <w:proofErr w:type="spellEnd"/>
      <w:r w:rsidRPr="00FF3023">
        <w:rPr>
          <w:rFonts w:ascii="Invesco Interstate Light" w:eastAsia="MS Mincho" w:hAnsi="Invesco Interstate Light"/>
          <w:sz w:val="22"/>
          <w:szCs w:val="22"/>
          <w:lang w:eastAsia="ja-JP"/>
        </w:rPr>
        <w:t xml:space="preserve"> průlivu zasaženy méně, než jsme se obávali, situace však zůstává proměnlivá. Proto se držíme základního scénáře pokračující globální ekonomické expanze.</w:t>
      </w:r>
    </w:p>
    <w:p w14:paraId="5F760603"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19B70753"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V kontextu grafu 6 se domníváme, že se světová ekonomika nachází ve střední fázi expanze. Naše analýza historické výkonnosti aktiv naznačuje, že v této fázi hospodářského cyklu se obvykle daří cyklickým aktivům. Patří mezi ně průmyslové komodity, jako jsou energetické suroviny a základní kovy, akcie, aktiva rozvíjejících se trhů (EM), nemovitostní investiční trusty (</w:t>
      </w:r>
      <w:proofErr w:type="spellStart"/>
      <w:r w:rsidRPr="00FF3023">
        <w:rPr>
          <w:rFonts w:ascii="Invesco Interstate Light" w:eastAsia="MS Mincho" w:hAnsi="Invesco Interstate Light"/>
          <w:sz w:val="22"/>
          <w:szCs w:val="22"/>
          <w:lang w:eastAsia="ja-JP"/>
        </w:rPr>
        <w:t>REITs</w:t>
      </w:r>
      <w:proofErr w:type="spellEnd"/>
      <w:r w:rsidRPr="00FF3023">
        <w:rPr>
          <w:rFonts w:ascii="Invesco Interstate Light" w:eastAsia="MS Mincho" w:hAnsi="Invesco Interstate Light"/>
          <w:sz w:val="22"/>
          <w:szCs w:val="22"/>
          <w:lang w:eastAsia="ja-JP"/>
        </w:rPr>
        <w:t>) a dluhopisy s vysokým výnosem (HY).</w:t>
      </w:r>
    </w:p>
    <w:p w14:paraId="79CFFDD6"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1DA0B021" w14:textId="3627FE86"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 xml:space="preserve">Je samozřejmě možné, že některá z těchto aktiv již mají ve svých cenách započítánu řadu pozitivních očekávání. </w:t>
      </w:r>
    </w:p>
    <w:p w14:paraId="16CE59E1" w14:textId="77777777" w:rsidR="00291163" w:rsidRDefault="00291163" w:rsidP="00FF3023">
      <w:pPr>
        <w:spacing w:line="360" w:lineRule="auto"/>
        <w:jc w:val="both"/>
        <w:rPr>
          <w:rFonts w:ascii="Invesco Interstate Light" w:eastAsia="MS Mincho" w:hAnsi="Invesco Interstate Light"/>
          <w:sz w:val="22"/>
          <w:szCs w:val="22"/>
          <w:lang w:eastAsia="ja-JP"/>
        </w:rPr>
      </w:pPr>
    </w:p>
    <w:p w14:paraId="093305A0" w14:textId="0854C694" w:rsidR="00291163" w:rsidRDefault="00291163" w:rsidP="00FF3023">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3752C786" wp14:editId="48608B0D">
            <wp:extent cx="6108065" cy="4343400"/>
            <wp:effectExtent l="0" t="0" r="6985" b="0"/>
            <wp:docPr id="12186564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5642" name="Obrázek 121865642"/>
                    <pic:cNvPicPr/>
                  </pic:nvPicPr>
                  <pic:blipFill>
                    <a:blip r:embed="rId13">
                      <a:extLst>
                        <a:ext uri="{28A0092B-C50C-407E-A947-70E740481C1C}">
                          <a14:useLocalDpi xmlns:a14="http://schemas.microsoft.com/office/drawing/2010/main" val="0"/>
                        </a:ext>
                      </a:extLst>
                    </a:blip>
                    <a:stretch>
                      <a:fillRect/>
                    </a:stretch>
                  </pic:blipFill>
                  <pic:spPr>
                    <a:xfrm>
                      <a:off x="0" y="0"/>
                      <a:ext cx="6108065" cy="4343400"/>
                    </a:xfrm>
                    <a:prstGeom prst="rect">
                      <a:avLst/>
                    </a:prstGeom>
                  </pic:spPr>
                </pic:pic>
              </a:graphicData>
            </a:graphic>
          </wp:inline>
        </w:drawing>
      </w:r>
    </w:p>
    <w:p w14:paraId="6058634D" w14:textId="135E00E3" w:rsidR="00B4387E" w:rsidRDefault="00B4387E" w:rsidP="00FF3023">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t xml:space="preserve">Zdroj: </w:t>
      </w:r>
      <w:r w:rsidRPr="00B4387E">
        <w:rPr>
          <w:rFonts w:ascii="Invesco Interstate Light" w:eastAsia="MS Mincho" w:hAnsi="Invesco Interstate Light"/>
          <w:sz w:val="22"/>
          <w:szCs w:val="22"/>
          <w:lang w:eastAsia="ja-JP"/>
        </w:rPr>
        <w:t xml:space="preserve">Strategie a analýzy </w:t>
      </w:r>
      <w:proofErr w:type="spellStart"/>
      <w:r w:rsidRPr="00B4387E">
        <w:rPr>
          <w:rFonts w:ascii="Invesco Interstate Light" w:eastAsia="MS Mincho" w:hAnsi="Invesco Interstate Light"/>
          <w:sz w:val="22"/>
          <w:szCs w:val="22"/>
          <w:lang w:eastAsia="ja-JP"/>
        </w:rPr>
        <w:t>Invesco</w:t>
      </w:r>
      <w:proofErr w:type="spellEnd"/>
      <w:r>
        <w:rPr>
          <w:rFonts w:ascii="Invesco Interstate Light" w:eastAsia="MS Mincho" w:hAnsi="Invesco Interstate Light"/>
          <w:sz w:val="22"/>
          <w:szCs w:val="22"/>
          <w:lang w:eastAsia="ja-JP"/>
        </w:rPr>
        <w:t>, 2026</w:t>
      </w:r>
    </w:p>
    <w:p w14:paraId="1D080BE0"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3891A593" w14:textId="77777777" w:rsid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Názory na jednotlivé třídy aktiv a investiční preference</w:t>
      </w:r>
    </w:p>
    <w:p w14:paraId="4AF0E371"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4689CC19"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V globálním měřítku nadále upřednostňujeme cyklická aktiva, jako jsou průmyslové komodity, nemovitosti a akcie mimo USA. Domníváme se totiž, že americký akciový trh je méně citlivý na hospodářský cyklus než ostatní trhy.</w:t>
      </w:r>
    </w:p>
    <w:p w14:paraId="6E66A89B"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2F67B0CD"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Dluhová aktiva jsou podle nás nyní atraktivnější díky růstu výnosů, obáváme se však, že výnosy mohou ještě dále vzrůst. Výběr v rámci této třídy aktiv je obtížný. Dluhopisy s vysokým výnosem (HY) jsou sice více cyklické, jejich kreditní rozpětí jsou však neobvykle úzká. Naopak očekáváme, že některé státní dluhopisy a podnikové dluhopisy investičního stupně (IG) budou pod tlakem, pokud budou dlouhodobé výnosy nadále růst. Aktiva s krátkou durací, například soukromé úvěry (</w:t>
      </w:r>
      <w:proofErr w:type="spellStart"/>
      <w:r w:rsidRPr="00FF3023">
        <w:rPr>
          <w:rFonts w:ascii="Invesco Interstate Light" w:eastAsia="MS Mincho" w:hAnsi="Invesco Interstate Light"/>
          <w:sz w:val="22"/>
          <w:szCs w:val="22"/>
          <w:lang w:eastAsia="ja-JP"/>
        </w:rPr>
        <w:t>private</w:t>
      </w:r>
      <w:proofErr w:type="spellEnd"/>
      <w:r w:rsidRPr="00FF3023">
        <w:rPr>
          <w:rFonts w:ascii="Invesco Interstate Light" w:eastAsia="MS Mincho" w:hAnsi="Invesco Interstate Light"/>
          <w:sz w:val="22"/>
          <w:szCs w:val="22"/>
          <w:lang w:eastAsia="ja-JP"/>
        </w:rPr>
        <w:t xml:space="preserve"> </w:t>
      </w:r>
      <w:proofErr w:type="spellStart"/>
      <w:r w:rsidRPr="00FF3023">
        <w:rPr>
          <w:rFonts w:ascii="Invesco Interstate Light" w:eastAsia="MS Mincho" w:hAnsi="Invesco Interstate Light"/>
          <w:sz w:val="22"/>
          <w:szCs w:val="22"/>
          <w:lang w:eastAsia="ja-JP"/>
        </w:rPr>
        <w:t>credit</w:t>
      </w:r>
      <w:proofErr w:type="spellEnd"/>
      <w:r w:rsidRPr="00FF3023">
        <w:rPr>
          <w:rFonts w:ascii="Invesco Interstate Light" w:eastAsia="MS Mincho" w:hAnsi="Invesco Interstate Light"/>
          <w:sz w:val="22"/>
          <w:szCs w:val="22"/>
          <w:lang w:eastAsia="ja-JP"/>
        </w:rPr>
        <w:t>), měla při růstu výnosů tendenci vykazovat menší ztráty.</w:t>
      </w:r>
    </w:p>
    <w:p w14:paraId="28620F18"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37F67A85"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Jednotlivé ekonomiky se mohou nacházet v různých fázích hospodářského cyklu, což komplikuje výběr aktiv napříč regiony. Německá ekonomika například v posledních letech procházela mírnou recesí, takže případné zrychlení růstu by mohlo odpovídat spíše počáteční fázi expanze.</w:t>
      </w:r>
    </w:p>
    <w:p w14:paraId="05C71630" w14:textId="77777777" w:rsidR="00FF3023" w:rsidRDefault="00FF3023" w:rsidP="00FF3023">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Napříč třídami aktiv upřednostňujeme rozvíjející se trhy a Evropu. Domníváme se, že oba regiony nabízejí větší citlivost na hospodářský cyklus.</w:t>
      </w:r>
    </w:p>
    <w:p w14:paraId="2AA8812D" w14:textId="77777777" w:rsidR="00FF3023" w:rsidRPr="00FF3023" w:rsidRDefault="00FF3023" w:rsidP="00FF3023">
      <w:pPr>
        <w:spacing w:line="360" w:lineRule="auto"/>
        <w:jc w:val="both"/>
        <w:rPr>
          <w:rFonts w:ascii="Invesco Interstate Light" w:eastAsia="MS Mincho" w:hAnsi="Invesco Interstate Light"/>
          <w:sz w:val="22"/>
          <w:szCs w:val="22"/>
          <w:lang w:eastAsia="ja-JP"/>
        </w:rPr>
      </w:pPr>
    </w:p>
    <w:p w14:paraId="41AAE90F" w14:textId="77777777" w:rsidR="00FF3023" w:rsidRDefault="00FF3023" w:rsidP="00FF3023">
      <w:pPr>
        <w:spacing w:line="360" w:lineRule="auto"/>
        <w:jc w:val="both"/>
        <w:rPr>
          <w:rFonts w:ascii="Invesco Interstate Light" w:eastAsia="MS Mincho" w:hAnsi="Invesco Interstate Light"/>
          <w:b/>
          <w:bCs/>
          <w:sz w:val="22"/>
          <w:szCs w:val="22"/>
          <w:lang w:eastAsia="ja-JP"/>
        </w:rPr>
      </w:pPr>
      <w:r w:rsidRPr="00FF3023">
        <w:rPr>
          <w:rFonts w:ascii="Invesco Interstate Light" w:eastAsia="MS Mincho" w:hAnsi="Invesco Interstate Light"/>
          <w:b/>
          <w:bCs/>
          <w:sz w:val="22"/>
          <w:szCs w:val="22"/>
          <w:lang w:eastAsia="ja-JP"/>
        </w:rPr>
        <w:t>Rizika</w:t>
      </w:r>
    </w:p>
    <w:p w14:paraId="7CCB5570" w14:textId="77777777" w:rsidR="00FF3023" w:rsidRPr="00FF3023" w:rsidRDefault="00FF3023" w:rsidP="00FF3023">
      <w:pPr>
        <w:spacing w:line="360" w:lineRule="auto"/>
        <w:jc w:val="both"/>
        <w:rPr>
          <w:rFonts w:ascii="Invesco Interstate Light" w:eastAsia="MS Mincho" w:hAnsi="Invesco Interstate Light"/>
          <w:b/>
          <w:bCs/>
          <w:sz w:val="22"/>
          <w:szCs w:val="22"/>
          <w:lang w:eastAsia="ja-JP"/>
        </w:rPr>
      </w:pPr>
    </w:p>
    <w:p w14:paraId="1A315C04" w14:textId="6FC10142" w:rsidR="00B60DF6" w:rsidRPr="00291163" w:rsidRDefault="00FF3023" w:rsidP="00DF6C0B">
      <w:pPr>
        <w:spacing w:line="360" w:lineRule="auto"/>
        <w:jc w:val="both"/>
        <w:rPr>
          <w:rFonts w:ascii="Invesco Interstate Light" w:eastAsia="MS Mincho" w:hAnsi="Invesco Interstate Light"/>
          <w:sz w:val="22"/>
          <w:szCs w:val="22"/>
          <w:lang w:eastAsia="ja-JP"/>
        </w:rPr>
      </w:pPr>
      <w:r w:rsidRPr="00FF3023">
        <w:rPr>
          <w:rFonts w:ascii="Invesco Interstate Light" w:eastAsia="MS Mincho" w:hAnsi="Invesco Interstate Light"/>
          <w:sz w:val="22"/>
          <w:szCs w:val="22"/>
          <w:lang w:eastAsia="ja-JP"/>
        </w:rPr>
        <w:t>Největším rizikem pro tuto orientaci na cyklická aktiva by byla recese. Pokud by navíc ceny energií a potravin dále rostly, inflace by mohla znovu zrychlit. Domníváme se, že v takovém scénáři by bylo obtížné najít aktiva, která by si vedla dobře. Výjimku by mohly představovat energetické a zemědělské komodity a akcie společností působících v odvětví těžby a zpracování surovin.</w:t>
      </w:r>
    </w:p>
    <w:p w14:paraId="0E564FFF" w14:textId="77777777" w:rsidR="00B60DF6" w:rsidRPr="00317D28" w:rsidRDefault="00B60DF6" w:rsidP="00DF6C0B">
      <w:pPr>
        <w:spacing w:line="360" w:lineRule="auto"/>
        <w:jc w:val="both"/>
        <w:rPr>
          <w:rFonts w:ascii="Invesco Interstate Light" w:eastAsia="MS Mincho" w:hAnsi="Invesco Interstate Light"/>
          <w:sz w:val="22"/>
          <w:szCs w:val="22"/>
          <w:lang w:eastAsia="ja-JP"/>
        </w:rPr>
      </w:pPr>
    </w:p>
    <w:p w14:paraId="6BBD653F" w14:textId="77777777" w:rsidR="00966D3B" w:rsidRPr="00625782" w:rsidRDefault="00966D3B" w:rsidP="00966D3B">
      <w:pPr>
        <w:spacing w:line="360" w:lineRule="auto"/>
        <w:jc w:val="both"/>
        <w:rPr>
          <w:rFonts w:ascii="Invesco Interstate Light" w:eastAsia="MS Mincho" w:hAnsi="Invesco Interstate Light"/>
          <w:sz w:val="22"/>
          <w:szCs w:val="22"/>
          <w:lang w:eastAsia="ja-JP"/>
        </w:rPr>
      </w:pPr>
      <w:r w:rsidRPr="00654055">
        <w:rPr>
          <w:rFonts w:ascii="Invesco Interstate Light" w:hAnsi="Invesco Interstate Light"/>
          <w:b/>
          <w:bCs/>
          <w:sz w:val="22"/>
          <w:szCs w:val="22"/>
        </w:rPr>
        <w:t xml:space="preserve">O společnosti </w:t>
      </w:r>
      <w:proofErr w:type="spellStart"/>
      <w:r w:rsidRPr="00654055">
        <w:rPr>
          <w:rFonts w:ascii="Invesco Interstate Light" w:hAnsi="Invesco Interstate Light"/>
          <w:b/>
          <w:bCs/>
          <w:sz w:val="22"/>
          <w:szCs w:val="22"/>
        </w:rPr>
        <w:t>Invesco</w:t>
      </w:r>
      <w:proofErr w:type="spellEnd"/>
    </w:p>
    <w:p w14:paraId="5BE208D6" w14:textId="77777777" w:rsidR="00966D3B" w:rsidRPr="00654055" w:rsidRDefault="00966D3B" w:rsidP="00966D3B">
      <w:pPr>
        <w:autoSpaceDE w:val="0"/>
        <w:autoSpaceDN w:val="0"/>
        <w:adjustRightInd w:val="0"/>
        <w:spacing w:line="276" w:lineRule="auto"/>
        <w:rPr>
          <w:rFonts w:ascii="Invesco Interstate Light" w:hAnsi="Invesco Interstate Light"/>
          <w:sz w:val="22"/>
          <w:szCs w:val="22"/>
        </w:rPr>
      </w:pPr>
    </w:p>
    <w:p w14:paraId="0979E9C3"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Österreich</w:t>
      </w:r>
      <w:proofErr w:type="spellEnd"/>
      <w:r w:rsidRPr="000E12B4">
        <w:rPr>
          <w:rFonts w:ascii="Invesco Interstate Light" w:hAnsi="Invesco Interstate Light"/>
          <w:sz w:val="22"/>
          <w:szCs w:val="22"/>
        </w:rPr>
        <w:t xml:space="preserve"> – pobočka pobočky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Pr>
          <w:rFonts w:ascii="Invesco Interstate Light" w:hAnsi="Invesco Interstate Light"/>
          <w:sz w:val="22"/>
          <w:szCs w:val="22"/>
        </w:rPr>
        <w:t xml:space="preserve"> </w:t>
      </w:r>
      <w:r w:rsidRPr="002231C5">
        <w:rPr>
          <w:rFonts w:ascii="Invesco Interstate Light" w:hAnsi="Invesco Interstate Light" w:cs="Arial"/>
          <w:sz w:val="22"/>
          <w:szCs w:val="22"/>
          <w:lang w:eastAsia="cs-CZ"/>
        </w:rPr>
        <w:t xml:space="preserve">– </w:t>
      </w:r>
      <w:r w:rsidRPr="000E12B4">
        <w:rPr>
          <w:rFonts w:ascii="Invesco Interstate Light" w:hAnsi="Invesco Interstate Light"/>
          <w:sz w:val="22"/>
          <w:szCs w:val="22"/>
        </w:rPr>
        <w:t xml:space="preserve">jsou součástí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Ltd., společnosti pro správu aktiv se spravovanými aktivy v hodnotě více než 1 593 miliard USD (k 31. říjnu 2021).</w:t>
      </w:r>
    </w:p>
    <w:p w14:paraId="2509A686"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7E461D7F"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 případě jakýchkoli dotazů nebo potřeby dalších informací se obraťte na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Valentin Jakubow, telefon +49 69 29807-311.</w:t>
      </w:r>
    </w:p>
    <w:p w14:paraId="62E68187"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40040391"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Obsažené informace nepředstavují investiční doporučení ani jiné poradenství.  Prognózy a výhledy trhu uvedené v tomto materiálu jsou subjektivní odhady a předpoklady</w:t>
      </w:r>
    </w:p>
    <w:p w14:paraId="75099E40"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vedení fondu nebo jeho zástupců. Mohou se kdykoli změnit bez předchozího upozornění. Nelze zaručit, že se prognózy uskuteční podle předpokladů.</w:t>
      </w:r>
    </w:p>
    <w:p w14:paraId="0D08EF85"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2AD974F2" w14:textId="77777777" w:rsidR="00966D3B"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Vydavatelem těchto informací v České republice je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An der </w:t>
      </w:r>
      <w:proofErr w:type="spellStart"/>
      <w:r w:rsidRPr="000E12B4">
        <w:rPr>
          <w:rFonts w:ascii="Invesco Interstate Light" w:hAnsi="Invesco Interstate Light"/>
          <w:sz w:val="22"/>
          <w:szCs w:val="22"/>
        </w:rPr>
        <w:t>Welle</w:t>
      </w:r>
      <w:proofErr w:type="spellEnd"/>
      <w:r w:rsidRPr="000E12B4">
        <w:rPr>
          <w:rFonts w:ascii="Invesco Interstate Light" w:hAnsi="Invesco Interstate Light"/>
          <w:sz w:val="22"/>
          <w:szCs w:val="22"/>
        </w:rPr>
        <w:t xml:space="preserve"> 5, D-60322 Frankfurt nad Mohanem.</w:t>
      </w:r>
      <w:r>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Red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Oak</w:t>
      </w:r>
      <w:proofErr w:type="spellEnd"/>
      <w:r w:rsidRPr="000E12B4">
        <w:rPr>
          <w:rFonts w:ascii="Invesco Interstate Light" w:hAnsi="Invesco Interstate Light"/>
          <w:sz w:val="22"/>
          <w:szCs w:val="22"/>
        </w:rPr>
        <w:t xml:space="preserve"> ID: 1958016</w:t>
      </w:r>
    </w:p>
    <w:p w14:paraId="623D7BA5"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F193651" w14:textId="45803351" w:rsidR="00861B48" w:rsidRPr="000B3486" w:rsidRDefault="002355DD" w:rsidP="00AA2953">
      <w:pPr>
        <w:autoSpaceDE w:val="0"/>
        <w:autoSpaceDN w:val="0"/>
        <w:adjustRightInd w:val="0"/>
        <w:spacing w:line="360" w:lineRule="auto"/>
        <w:jc w:val="both"/>
        <w:rPr>
          <w:rFonts w:ascii="Invesco Interstate Light" w:hAnsi="Invesco Interstate Light"/>
          <w:b/>
          <w:bCs/>
          <w:sz w:val="22"/>
          <w:szCs w:val="22"/>
        </w:rPr>
      </w:pPr>
      <w:r w:rsidRPr="000B3486">
        <w:rPr>
          <w:rFonts w:ascii="Invesco Interstate Light" w:hAnsi="Invesco Interstate Light"/>
          <w:b/>
          <w:bCs/>
          <w:sz w:val="22"/>
          <w:szCs w:val="22"/>
        </w:rPr>
        <w:t>Pro více informací kontaktujte:</w:t>
      </w:r>
    </w:p>
    <w:p w14:paraId="2D8CCFC3" w14:textId="5D8355FB"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lastRenderedPageBreak/>
        <w:t>Eliška Krohová</w:t>
      </w:r>
    </w:p>
    <w:p w14:paraId="6206EFAC" w14:textId="2C72E8F6"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Crest Communications, a.s.</w:t>
      </w:r>
    </w:p>
    <w:p w14:paraId="3F25933E" w14:textId="775E272C"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Ostrovní 126/30</w:t>
      </w:r>
    </w:p>
    <w:p w14:paraId="1F8E91BC" w14:textId="5B14254F"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110 00 Praha 1</w:t>
      </w:r>
    </w:p>
    <w:p w14:paraId="3B799577" w14:textId="113036F6" w:rsidR="002355DD" w:rsidRPr="000B3486" w:rsidRDefault="002355DD" w:rsidP="00377BC0">
      <w:pPr>
        <w:spacing w:line="360" w:lineRule="auto"/>
        <w:rPr>
          <w:rFonts w:ascii="Invesco Interstate Light" w:hAnsi="Invesco Interstate Light"/>
          <w:sz w:val="22"/>
          <w:szCs w:val="22"/>
        </w:rPr>
      </w:pPr>
      <w:proofErr w:type="spellStart"/>
      <w:r w:rsidRPr="000B3486">
        <w:rPr>
          <w:rFonts w:ascii="Invesco Interstate Light" w:hAnsi="Invesco Interstate Light"/>
          <w:sz w:val="22"/>
          <w:szCs w:val="22"/>
        </w:rPr>
        <w:t>gsm</w:t>
      </w:r>
      <w:proofErr w:type="spellEnd"/>
      <w:r w:rsidRPr="000B3486">
        <w:rPr>
          <w:rFonts w:ascii="Invesco Interstate Light" w:hAnsi="Invesco Interstate Light"/>
          <w:sz w:val="22"/>
          <w:szCs w:val="22"/>
        </w:rPr>
        <w:t>: + 420 720 406 659</w:t>
      </w:r>
    </w:p>
    <w:p w14:paraId="4ADA8001" w14:textId="78096E9A" w:rsidR="00B84512" w:rsidRPr="000B3486" w:rsidRDefault="002355DD" w:rsidP="0020026C">
      <w:pPr>
        <w:spacing w:line="360" w:lineRule="auto"/>
        <w:rPr>
          <w:rFonts w:ascii="Invesco Interstate Light" w:hAnsi="Invesco Interstate Light"/>
          <w:sz w:val="22"/>
          <w:szCs w:val="22"/>
        </w:rPr>
      </w:pPr>
      <w:r w:rsidRPr="000B3486">
        <w:rPr>
          <w:rFonts w:ascii="Invesco Interstate Light" w:hAnsi="Invesco Interstate Light"/>
          <w:sz w:val="22"/>
          <w:szCs w:val="22"/>
        </w:rPr>
        <w:t xml:space="preserve">e-mail: </w:t>
      </w:r>
      <w:hyperlink r:id="rId14" w:history="1">
        <w:r w:rsidRPr="000B3486">
          <w:rPr>
            <w:rFonts w:ascii="Invesco Interstate Light" w:hAnsi="Invesco Interstate Light"/>
            <w:sz w:val="22"/>
            <w:szCs w:val="22"/>
          </w:rPr>
          <w:t>eliska.krohova@crestcom.cz</w:t>
        </w:r>
      </w:hyperlink>
    </w:p>
    <w:sectPr w:rsidR="00B84512" w:rsidRPr="000B3486" w:rsidSect="004854C2">
      <w:headerReference w:type="default" r:id="rId15"/>
      <w:pgSz w:w="11906" w:h="16838" w:code="9"/>
      <w:pgMar w:top="3062" w:right="926" w:bottom="1049" w:left="136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87F1" w14:textId="77777777" w:rsidR="00CE4008" w:rsidRDefault="00CE4008">
      <w:r>
        <w:separator/>
      </w:r>
    </w:p>
  </w:endnote>
  <w:endnote w:type="continuationSeparator" w:id="0">
    <w:p w14:paraId="1D830BCF" w14:textId="77777777" w:rsidR="00CE4008" w:rsidRDefault="00CE4008">
      <w:r>
        <w:continuationSeparator/>
      </w:r>
    </w:p>
  </w:endnote>
  <w:endnote w:type="continuationNotice" w:id="1">
    <w:p w14:paraId="19945FEA" w14:textId="77777777" w:rsidR="00CE4008" w:rsidRDefault="00CE40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altName w:val="Times New Roman"/>
    <w:panose1 w:val="00000000000000000000"/>
    <w:charset w:val="00"/>
    <w:family w:val="auto"/>
    <w:notTrueType/>
    <w:pitch w:val="variable"/>
    <w:sig w:usb0="0000008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InvescoInterstate-Light">
    <w:altName w:val="Times New Roman"/>
    <w:panose1 w:val="00000000000000000000"/>
    <w:charset w:val="00"/>
    <w:family w:val="auto"/>
    <w:notTrueType/>
    <w:pitch w:val="default"/>
    <w:sig w:usb0="00000003" w:usb1="00000000" w:usb2="00000000" w:usb3="00000000" w:csb0="00000001"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Interstate-Bold">
    <w:altName w:val="Times New Roman"/>
    <w:panose1 w:val="00000000000000000000"/>
    <w:charset w:val="00"/>
    <w:family w:val="auto"/>
    <w:notTrueType/>
    <w:pitch w:val="variable"/>
    <w:sig w:usb0="00000081" w:usb1="00000000" w:usb2="00000000" w:usb3="00000000" w:csb0="00000009"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Invesco Interstate Bold">
    <w:altName w:val="Calibri"/>
    <w:panose1 w:val="00000000000000000000"/>
    <w:charset w:val="00"/>
    <w:family w:val="modern"/>
    <w:notTrueType/>
    <w:pitch w:val="variable"/>
    <w:sig w:usb0="A00000AF" w:usb1="5000204A" w:usb2="00000000" w:usb3="00000000" w:csb0="000001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4BD8" w14:textId="77777777" w:rsidR="00CE4008" w:rsidRDefault="00CE4008">
      <w:r>
        <w:separator/>
      </w:r>
    </w:p>
  </w:footnote>
  <w:footnote w:type="continuationSeparator" w:id="0">
    <w:p w14:paraId="572C2181" w14:textId="77777777" w:rsidR="00CE4008" w:rsidRDefault="00CE4008">
      <w:r>
        <w:continuationSeparator/>
      </w:r>
    </w:p>
  </w:footnote>
  <w:footnote w:type="continuationNotice" w:id="1">
    <w:p w14:paraId="61C948E6" w14:textId="77777777" w:rsidR="00CE4008" w:rsidRDefault="00CE40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E542" w14:textId="37C9FB14" w:rsidR="00702C33" w:rsidRPr="00DD40A4" w:rsidRDefault="00702C33" w:rsidP="00F01B90">
    <w:pPr>
      <w:pStyle w:val="Zhlav"/>
      <w:pBdr>
        <w:top w:val="single" w:sz="4" w:space="3" w:color="auto"/>
      </w:pBdr>
      <w:spacing w:line="298" w:lineRule="exact"/>
      <w:ind w:left="3402"/>
      <w:rPr>
        <w:rFonts w:ascii="Invesco Interstate Bold" w:hAnsi="Invesco Interstate Bold"/>
        <w:sz w:val="28"/>
        <w:szCs w:val="28"/>
      </w:rPr>
    </w:pPr>
    <w:r>
      <w:rPr>
        <w:rFonts w:ascii="Invesco Interstate Light" w:hAnsi="Invesco Interstate Light"/>
        <w:noProof/>
        <w:color w:val="000000"/>
        <w:sz w:val="23"/>
        <w:szCs w:val="23"/>
        <w:lang w:eastAsia="cs-CZ"/>
      </w:rPr>
      <w:drawing>
        <wp:anchor distT="0" distB="0" distL="114300" distR="114300" simplePos="0" relativeHeight="251658240" behindDoc="0" locked="0" layoutInCell="1" allowOverlap="1" wp14:anchorId="699ED488" wp14:editId="0D4C568D">
          <wp:simplePos x="0" y="0"/>
          <wp:positionH relativeFrom="column">
            <wp:posOffset>-180975</wp:posOffset>
          </wp:positionH>
          <wp:positionV relativeFrom="paragraph">
            <wp:posOffset>67310</wp:posOffset>
          </wp:positionV>
          <wp:extent cx="1210945" cy="89535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5" cy="8953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59A5D358">
      <w:rPr>
        <w:rFonts w:ascii="Invesco Interstate Bold" w:hAnsi="Invesco Interstate Bold"/>
        <w:sz w:val="28"/>
        <w:szCs w:val="28"/>
      </w:rPr>
      <w:t>Press</w:t>
    </w:r>
    <w:proofErr w:type="spellEnd"/>
    <w:r w:rsidR="59A5D358">
      <w:rPr>
        <w:rFonts w:ascii="Invesco Interstate Bold" w:hAnsi="Invesco Interstate Bold"/>
        <w:sz w:val="28"/>
        <w:szCs w:val="28"/>
      </w:rPr>
      <w:t xml:space="preserve"> </w:t>
    </w:r>
    <w:proofErr w:type="spellStart"/>
    <w:r w:rsidR="59A5D358">
      <w:rPr>
        <w:rFonts w:ascii="Invesco Interstate Bold" w:hAnsi="Invesco Interstate Bold"/>
        <w:sz w:val="28"/>
        <w:szCs w:val="28"/>
      </w:rPr>
      <w:t>release</w:t>
    </w:r>
    <w:proofErr w:type="spellEnd"/>
  </w:p>
  <w:p w14:paraId="47A3E141" w14:textId="77777777" w:rsidR="00702C33" w:rsidRPr="000730A6" w:rsidRDefault="00702C33" w:rsidP="00F01B90">
    <w:pPr>
      <w:pStyle w:val="Zhlav"/>
      <w:pBdr>
        <w:top w:val="single" w:sz="4" w:space="3" w:color="auto"/>
      </w:pBdr>
      <w:spacing w:line="298" w:lineRule="exact"/>
      <w:ind w:left="3402"/>
      <w:rPr>
        <w:color w:val="000000"/>
        <w:sz w:val="28"/>
        <w:szCs w:val="28"/>
      </w:rPr>
    </w:pPr>
  </w:p>
  <w:p w14:paraId="75055101" w14:textId="00F357C3" w:rsidR="00702C33" w:rsidRPr="000730A6" w:rsidRDefault="00FF3023" w:rsidP="0083625E">
    <w:pPr>
      <w:pStyle w:val="Zhlav"/>
      <w:pBdr>
        <w:top w:val="single" w:sz="4" w:space="3" w:color="auto"/>
      </w:pBdr>
      <w:spacing w:line="298" w:lineRule="exact"/>
      <w:ind w:left="3402"/>
      <w:jc w:val="right"/>
      <w:rPr>
        <w:color w:val="000000"/>
        <w:sz w:val="28"/>
        <w:szCs w:val="28"/>
      </w:rPr>
    </w:pPr>
    <w:r>
      <w:rPr>
        <w:color w:val="000000"/>
        <w:sz w:val="28"/>
        <w:szCs w:val="28"/>
      </w:rPr>
      <w:t>X</w:t>
    </w:r>
    <w:r w:rsidR="0083625E">
      <w:rPr>
        <w:color w:val="000000"/>
        <w:sz w:val="28"/>
        <w:szCs w:val="28"/>
      </w:rPr>
      <w:t>.</w:t>
    </w:r>
    <w:r>
      <w:rPr>
        <w:color w:val="000000"/>
        <w:sz w:val="28"/>
        <w:szCs w:val="28"/>
      </w:rPr>
      <w:t>10</w:t>
    </w:r>
    <w:r w:rsidR="00BE4A7F">
      <w:rPr>
        <w:color w:val="000000"/>
        <w:sz w:val="28"/>
        <w:szCs w:val="28"/>
      </w:rPr>
      <w:t>.</w:t>
    </w:r>
    <w:r w:rsidR="0083625E">
      <w:rPr>
        <w:color w:val="000000"/>
        <w:sz w:val="28"/>
        <w:szCs w:val="28"/>
      </w:rPr>
      <w:t>202</w:t>
    </w:r>
    <w:r w:rsidR="003D67B0">
      <w:rPr>
        <w:color w:val="000000"/>
        <w:sz w:val="28"/>
        <w:szCs w:val="28"/>
      </w:rPr>
      <w:t>6</w:t>
    </w:r>
  </w:p>
  <w:p w14:paraId="68017DC2"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1C4278FC"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3D28188A"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46423A6D" w14:textId="5764694B" w:rsidR="00702C33" w:rsidRPr="00DD40A4" w:rsidRDefault="00702C33" w:rsidP="00EB6787">
    <w:pPr>
      <w:pStyle w:val="Zhlav"/>
      <w:pBdr>
        <w:top w:val="single" w:sz="4" w:space="3" w:color="auto"/>
      </w:pBdr>
      <w:spacing w:line="298" w:lineRule="exact"/>
      <w:ind w:left="3402"/>
      <w:jc w:val="right"/>
      <w:rPr>
        <w:rFonts w:ascii="Invesco Interstate Light" w:hAnsi="Invesco Interstate Light"/>
        <w:color w:val="000000"/>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A8D"/>
    <w:multiLevelType w:val="hybridMultilevel"/>
    <w:tmpl w:val="02D05D0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F1666"/>
    <w:multiLevelType w:val="multilevel"/>
    <w:tmpl w:val="11820CCE"/>
    <w:numStyleLink w:val="FormatvorlageAufgezhlt"/>
  </w:abstractNum>
  <w:abstractNum w:abstractNumId="2" w15:restartNumberingAfterBreak="0">
    <w:nsid w:val="02830A4F"/>
    <w:multiLevelType w:val="hybridMultilevel"/>
    <w:tmpl w:val="41CA52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3532BC"/>
    <w:multiLevelType w:val="hybridMultilevel"/>
    <w:tmpl w:val="4990A4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0A3312"/>
    <w:multiLevelType w:val="hybridMultilevel"/>
    <w:tmpl w:val="B638F3BA"/>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8522D9"/>
    <w:multiLevelType w:val="hybridMultilevel"/>
    <w:tmpl w:val="C2328D44"/>
    <w:lvl w:ilvl="0" w:tplc="F2400E3E">
      <w:numFmt w:val="bullet"/>
      <w:lvlText w:val="-"/>
      <w:lvlJc w:val="left"/>
      <w:pPr>
        <w:tabs>
          <w:tab w:val="num" w:pos="417"/>
        </w:tabs>
        <w:ind w:left="417" w:hanging="360"/>
      </w:pPr>
      <w:rPr>
        <w:rFonts w:ascii="Interstate-Light" w:eastAsia="Times New Roman" w:hAnsi="Interstate-Light" w:cs="Arial" w:hint="default"/>
      </w:rPr>
    </w:lvl>
    <w:lvl w:ilvl="1" w:tplc="04070003" w:tentative="1">
      <w:start w:val="1"/>
      <w:numFmt w:val="bullet"/>
      <w:lvlText w:val="o"/>
      <w:lvlJc w:val="left"/>
      <w:pPr>
        <w:tabs>
          <w:tab w:val="num" w:pos="1137"/>
        </w:tabs>
        <w:ind w:left="1137" w:hanging="360"/>
      </w:pPr>
      <w:rPr>
        <w:rFonts w:ascii="Courier New" w:hAnsi="Courier New" w:cs="Courier New" w:hint="default"/>
      </w:rPr>
    </w:lvl>
    <w:lvl w:ilvl="2" w:tplc="04070005" w:tentative="1">
      <w:start w:val="1"/>
      <w:numFmt w:val="bullet"/>
      <w:lvlText w:val=""/>
      <w:lvlJc w:val="left"/>
      <w:pPr>
        <w:tabs>
          <w:tab w:val="num" w:pos="1857"/>
        </w:tabs>
        <w:ind w:left="1857" w:hanging="360"/>
      </w:pPr>
      <w:rPr>
        <w:rFonts w:ascii="Wingdings" w:hAnsi="Wingdings" w:hint="default"/>
      </w:rPr>
    </w:lvl>
    <w:lvl w:ilvl="3" w:tplc="04070001" w:tentative="1">
      <w:start w:val="1"/>
      <w:numFmt w:val="bullet"/>
      <w:lvlText w:val=""/>
      <w:lvlJc w:val="left"/>
      <w:pPr>
        <w:tabs>
          <w:tab w:val="num" w:pos="2577"/>
        </w:tabs>
        <w:ind w:left="2577" w:hanging="360"/>
      </w:pPr>
      <w:rPr>
        <w:rFonts w:ascii="Symbol" w:hAnsi="Symbol" w:hint="default"/>
      </w:rPr>
    </w:lvl>
    <w:lvl w:ilvl="4" w:tplc="04070003" w:tentative="1">
      <w:start w:val="1"/>
      <w:numFmt w:val="bullet"/>
      <w:lvlText w:val="o"/>
      <w:lvlJc w:val="left"/>
      <w:pPr>
        <w:tabs>
          <w:tab w:val="num" w:pos="3297"/>
        </w:tabs>
        <w:ind w:left="3297" w:hanging="360"/>
      </w:pPr>
      <w:rPr>
        <w:rFonts w:ascii="Courier New" w:hAnsi="Courier New" w:cs="Courier New" w:hint="default"/>
      </w:rPr>
    </w:lvl>
    <w:lvl w:ilvl="5" w:tplc="04070005" w:tentative="1">
      <w:start w:val="1"/>
      <w:numFmt w:val="bullet"/>
      <w:lvlText w:val=""/>
      <w:lvlJc w:val="left"/>
      <w:pPr>
        <w:tabs>
          <w:tab w:val="num" w:pos="4017"/>
        </w:tabs>
        <w:ind w:left="4017" w:hanging="360"/>
      </w:pPr>
      <w:rPr>
        <w:rFonts w:ascii="Wingdings" w:hAnsi="Wingdings" w:hint="default"/>
      </w:rPr>
    </w:lvl>
    <w:lvl w:ilvl="6" w:tplc="04070001" w:tentative="1">
      <w:start w:val="1"/>
      <w:numFmt w:val="bullet"/>
      <w:lvlText w:val=""/>
      <w:lvlJc w:val="left"/>
      <w:pPr>
        <w:tabs>
          <w:tab w:val="num" w:pos="4737"/>
        </w:tabs>
        <w:ind w:left="4737" w:hanging="360"/>
      </w:pPr>
      <w:rPr>
        <w:rFonts w:ascii="Symbol" w:hAnsi="Symbol" w:hint="default"/>
      </w:rPr>
    </w:lvl>
    <w:lvl w:ilvl="7" w:tplc="04070003" w:tentative="1">
      <w:start w:val="1"/>
      <w:numFmt w:val="bullet"/>
      <w:lvlText w:val="o"/>
      <w:lvlJc w:val="left"/>
      <w:pPr>
        <w:tabs>
          <w:tab w:val="num" w:pos="5457"/>
        </w:tabs>
        <w:ind w:left="5457" w:hanging="360"/>
      </w:pPr>
      <w:rPr>
        <w:rFonts w:ascii="Courier New" w:hAnsi="Courier New" w:cs="Courier New" w:hint="default"/>
      </w:rPr>
    </w:lvl>
    <w:lvl w:ilvl="8" w:tplc="0407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11371280"/>
    <w:multiLevelType w:val="hybridMultilevel"/>
    <w:tmpl w:val="F462ED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23526C"/>
    <w:multiLevelType w:val="hybridMultilevel"/>
    <w:tmpl w:val="6384318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32367F4"/>
    <w:multiLevelType w:val="hybridMultilevel"/>
    <w:tmpl w:val="C6068710"/>
    <w:lvl w:ilvl="0" w:tplc="F41ECF42">
      <w:start w:val="1"/>
      <w:numFmt w:val="decimal"/>
      <w:lvlText w:val="%1."/>
      <w:lvlJc w:val="left"/>
      <w:pPr>
        <w:ind w:left="720" w:hanging="360"/>
      </w:pPr>
      <w:rPr>
        <w:rFonts w:eastAsia="MS Mincho"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C58061F"/>
    <w:multiLevelType w:val="multilevel"/>
    <w:tmpl w:val="F25EAD3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20DC4577"/>
    <w:multiLevelType w:val="hybridMultilevel"/>
    <w:tmpl w:val="CB5E692C"/>
    <w:lvl w:ilvl="0" w:tplc="562A133C">
      <w:start w:val="1"/>
      <w:numFmt w:val="decimal"/>
      <w:lvlText w:val="%1)"/>
      <w:lvlJc w:val="left"/>
      <w:pPr>
        <w:ind w:left="720" w:hanging="360"/>
      </w:pPr>
      <w:rPr>
        <w:rFonts w:ascii="Calibri" w:eastAsia="SimSun" w:hAnsi="Calibri" w:cs="Calibri"/>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42762C"/>
    <w:multiLevelType w:val="hybridMultilevel"/>
    <w:tmpl w:val="7438E3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282407"/>
    <w:multiLevelType w:val="hybridMultilevel"/>
    <w:tmpl w:val="31CE0928"/>
    <w:lvl w:ilvl="0" w:tplc="C944B6A4">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A0F7E9E"/>
    <w:multiLevelType w:val="hybridMultilevel"/>
    <w:tmpl w:val="22A6AED0"/>
    <w:lvl w:ilvl="0" w:tplc="7C86876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A46D70"/>
    <w:multiLevelType w:val="multilevel"/>
    <w:tmpl w:val="11820CCE"/>
    <w:numStyleLink w:val="FormatvorlageAufgezhlt"/>
  </w:abstractNum>
  <w:abstractNum w:abstractNumId="15" w15:restartNumberingAfterBreak="0">
    <w:nsid w:val="3AAA5B92"/>
    <w:multiLevelType w:val="hybridMultilevel"/>
    <w:tmpl w:val="89A4DB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11576DF"/>
    <w:multiLevelType w:val="hybridMultilevel"/>
    <w:tmpl w:val="4992EE3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D517BE"/>
    <w:multiLevelType w:val="multilevel"/>
    <w:tmpl w:val="11820CCE"/>
    <w:styleLink w:val="FormatvorlageAufgezhlt"/>
    <w:lvl w:ilvl="0">
      <w:start w:val="1"/>
      <w:numFmt w:val="bullet"/>
      <w:lvlText w:val=""/>
      <w:lvlJc w:val="left"/>
      <w:pPr>
        <w:tabs>
          <w:tab w:val="num" w:pos="284"/>
        </w:tabs>
        <w:ind w:left="284" w:hanging="284"/>
      </w:pPr>
      <w:rPr>
        <w:rFonts w:ascii="Symbol" w:hAnsi="Symbol" w:hint="default"/>
        <w:spacing w:val="-2"/>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CB55B4"/>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E431E6"/>
    <w:multiLevelType w:val="hybridMultilevel"/>
    <w:tmpl w:val="2932C9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630B23"/>
    <w:multiLevelType w:val="multilevel"/>
    <w:tmpl w:val="11820CCE"/>
    <w:numStyleLink w:val="FormatvorlageAufgezhlt"/>
  </w:abstractNum>
  <w:abstractNum w:abstractNumId="21" w15:restartNumberingAfterBreak="0">
    <w:nsid w:val="51C77DF0"/>
    <w:multiLevelType w:val="hybridMultilevel"/>
    <w:tmpl w:val="DFEC23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27F26D6"/>
    <w:multiLevelType w:val="multilevel"/>
    <w:tmpl w:val="4DC4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842E6"/>
    <w:multiLevelType w:val="hybridMultilevel"/>
    <w:tmpl w:val="FA32E34A"/>
    <w:lvl w:ilvl="0" w:tplc="04050001">
      <w:start w:val="1"/>
      <w:numFmt w:val="bullet"/>
      <w:lvlText w:val=""/>
      <w:lvlJc w:val="left"/>
      <w:pPr>
        <w:ind w:left="360" w:hanging="360"/>
      </w:pPr>
      <w:rPr>
        <w:rFonts w:ascii="Symbol" w:hAnsi="Symbol" w:hint="default"/>
      </w:rPr>
    </w:lvl>
    <w:lvl w:ilvl="1" w:tplc="862E3118">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4EA5352"/>
    <w:multiLevelType w:val="hybridMultilevel"/>
    <w:tmpl w:val="78781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9FB2971"/>
    <w:multiLevelType w:val="multilevel"/>
    <w:tmpl w:val="1A7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034BE7"/>
    <w:multiLevelType w:val="multilevel"/>
    <w:tmpl w:val="238E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67E76"/>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320AB6"/>
    <w:multiLevelType w:val="hybridMultilevel"/>
    <w:tmpl w:val="0CBC0784"/>
    <w:lvl w:ilvl="0" w:tplc="418C119C">
      <w:start w:val="1"/>
      <w:numFmt w:val="bullet"/>
      <w:lvlText w:val="-"/>
      <w:lvlJc w:val="left"/>
      <w:pPr>
        <w:ind w:left="720" w:hanging="360"/>
      </w:pPr>
      <w:rPr>
        <w:rFonts w:ascii="Verdana" w:eastAsia="Times New Roman" w:hAnsi="Verdana" w:cs="InvescoInterstate-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17D8A"/>
    <w:multiLevelType w:val="hybridMultilevel"/>
    <w:tmpl w:val="6BFE5D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167826"/>
    <w:multiLevelType w:val="hybridMultilevel"/>
    <w:tmpl w:val="3DF41F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8E55888"/>
    <w:multiLevelType w:val="multilevel"/>
    <w:tmpl w:val="3136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60143C"/>
    <w:multiLevelType w:val="hybridMultilevel"/>
    <w:tmpl w:val="F4982B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BD403C3"/>
    <w:multiLevelType w:val="multilevel"/>
    <w:tmpl w:val="11820CCE"/>
    <w:numStyleLink w:val="FormatvorlageAufgezhlt"/>
  </w:abstractNum>
  <w:abstractNum w:abstractNumId="34" w15:restartNumberingAfterBreak="0">
    <w:nsid w:val="6C6C4721"/>
    <w:multiLevelType w:val="multilevel"/>
    <w:tmpl w:val="11820CCE"/>
    <w:numStyleLink w:val="FormatvorlageAufgezhlt"/>
  </w:abstractNum>
  <w:abstractNum w:abstractNumId="35" w15:restartNumberingAfterBreak="0">
    <w:nsid w:val="6D540F0B"/>
    <w:multiLevelType w:val="hybridMultilevel"/>
    <w:tmpl w:val="83CA58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25F7CB6"/>
    <w:multiLevelType w:val="multilevel"/>
    <w:tmpl w:val="6EFA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7B6BE8"/>
    <w:multiLevelType w:val="multilevel"/>
    <w:tmpl w:val="F49C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5380B"/>
    <w:multiLevelType w:val="multilevel"/>
    <w:tmpl w:val="11820CCE"/>
    <w:numStyleLink w:val="FormatvorlageAufgezhlt"/>
  </w:abstractNum>
  <w:abstractNum w:abstractNumId="39" w15:restartNumberingAfterBreak="0">
    <w:nsid w:val="760917C2"/>
    <w:multiLevelType w:val="hybridMultilevel"/>
    <w:tmpl w:val="41049BD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6586BA9"/>
    <w:multiLevelType w:val="hybridMultilevel"/>
    <w:tmpl w:val="204453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90F7BB6"/>
    <w:multiLevelType w:val="hybridMultilevel"/>
    <w:tmpl w:val="CD3ACA02"/>
    <w:lvl w:ilvl="0" w:tplc="04050001">
      <w:start w:val="1"/>
      <w:numFmt w:val="bullet"/>
      <w:lvlText w:val=""/>
      <w:lvlJc w:val="left"/>
      <w:pPr>
        <w:ind w:left="720" w:hanging="360"/>
      </w:pPr>
      <w:rPr>
        <w:rFonts w:ascii="Symbol" w:hAnsi="Symbol" w:hint="default"/>
      </w:rPr>
    </w:lvl>
    <w:lvl w:ilvl="1" w:tplc="45A67DCE">
      <w:numFmt w:val="bullet"/>
      <w:lvlText w:val="-"/>
      <w:lvlJc w:val="left"/>
      <w:pPr>
        <w:ind w:left="1788" w:hanging="708"/>
      </w:pPr>
      <w:rPr>
        <w:rFonts w:ascii="Invesco Interstate Light" w:eastAsia="MS Mincho" w:hAnsi="Invesco Interstate Ligh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A4323C9"/>
    <w:multiLevelType w:val="hybridMultilevel"/>
    <w:tmpl w:val="6A4C45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B9A1825"/>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AC587C"/>
    <w:multiLevelType w:val="hybridMultilevel"/>
    <w:tmpl w:val="BC2E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4C43AA"/>
    <w:multiLevelType w:val="hybridMultilevel"/>
    <w:tmpl w:val="1084E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E975B7"/>
    <w:multiLevelType w:val="multilevel"/>
    <w:tmpl w:val="7610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352023">
    <w:abstractNumId w:val="0"/>
  </w:num>
  <w:num w:numId="2" w16cid:durableId="165101048">
    <w:abstractNumId w:val="16"/>
  </w:num>
  <w:num w:numId="3" w16cid:durableId="1282105589">
    <w:abstractNumId w:val="29"/>
  </w:num>
  <w:num w:numId="4" w16cid:durableId="1617441895">
    <w:abstractNumId w:val="17"/>
  </w:num>
  <w:num w:numId="5" w16cid:durableId="1267425896">
    <w:abstractNumId w:val="20"/>
  </w:num>
  <w:num w:numId="6" w16cid:durableId="1792238606">
    <w:abstractNumId w:val="33"/>
  </w:num>
  <w:num w:numId="7" w16cid:durableId="190919629">
    <w:abstractNumId w:val="34"/>
  </w:num>
  <w:num w:numId="8" w16cid:durableId="2083285618">
    <w:abstractNumId w:val="1"/>
  </w:num>
  <w:num w:numId="9" w16cid:durableId="1653213567">
    <w:abstractNumId w:val="38"/>
  </w:num>
  <w:num w:numId="10" w16cid:durableId="849561851">
    <w:abstractNumId w:val="14"/>
  </w:num>
  <w:num w:numId="11" w16cid:durableId="1899129255">
    <w:abstractNumId w:val="5"/>
  </w:num>
  <w:num w:numId="12" w16cid:durableId="1348407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6734545">
    <w:abstractNumId w:val="44"/>
  </w:num>
  <w:num w:numId="14" w16cid:durableId="2009676695">
    <w:abstractNumId w:val="45"/>
  </w:num>
  <w:num w:numId="15" w16cid:durableId="1629623239">
    <w:abstractNumId w:val="28"/>
  </w:num>
  <w:num w:numId="16" w16cid:durableId="1975720235">
    <w:abstractNumId w:val="9"/>
  </w:num>
  <w:num w:numId="17" w16cid:durableId="103501300">
    <w:abstractNumId w:val="2"/>
  </w:num>
  <w:num w:numId="18" w16cid:durableId="1434014312">
    <w:abstractNumId w:val="32"/>
  </w:num>
  <w:num w:numId="19" w16cid:durableId="832065860">
    <w:abstractNumId w:val="35"/>
  </w:num>
  <w:num w:numId="20" w16cid:durableId="667943464">
    <w:abstractNumId w:val="42"/>
  </w:num>
  <w:num w:numId="21" w16cid:durableId="225343112">
    <w:abstractNumId w:val="40"/>
  </w:num>
  <w:num w:numId="22" w16cid:durableId="1319532336">
    <w:abstractNumId w:val="13"/>
  </w:num>
  <w:num w:numId="23" w16cid:durableId="1341154147">
    <w:abstractNumId w:val="27"/>
  </w:num>
  <w:num w:numId="24" w16cid:durableId="796413596">
    <w:abstractNumId w:val="18"/>
  </w:num>
  <w:num w:numId="25" w16cid:durableId="2010979537">
    <w:abstractNumId w:val="43"/>
  </w:num>
  <w:num w:numId="26" w16cid:durableId="951936802">
    <w:abstractNumId w:val="24"/>
  </w:num>
  <w:num w:numId="27" w16cid:durableId="1672954226">
    <w:abstractNumId w:val="3"/>
  </w:num>
  <w:num w:numId="28" w16cid:durableId="953906591">
    <w:abstractNumId w:val="7"/>
  </w:num>
  <w:num w:numId="29" w16cid:durableId="923606003">
    <w:abstractNumId w:val="39"/>
  </w:num>
  <w:num w:numId="30" w16cid:durableId="251279824">
    <w:abstractNumId w:val="11"/>
  </w:num>
  <w:num w:numId="31" w16cid:durableId="561334413">
    <w:abstractNumId w:val="8"/>
  </w:num>
  <w:num w:numId="32" w16cid:durableId="1464276347">
    <w:abstractNumId w:val="15"/>
  </w:num>
  <w:num w:numId="33" w16cid:durableId="514879310">
    <w:abstractNumId w:val="23"/>
  </w:num>
  <w:num w:numId="34" w16cid:durableId="511531335">
    <w:abstractNumId w:val="19"/>
  </w:num>
  <w:num w:numId="35" w16cid:durableId="1821118983">
    <w:abstractNumId w:val="21"/>
  </w:num>
  <w:num w:numId="36" w16cid:durableId="1789934776">
    <w:abstractNumId w:val="6"/>
  </w:num>
  <w:num w:numId="37" w16cid:durableId="1800874279">
    <w:abstractNumId w:val="12"/>
  </w:num>
  <w:num w:numId="38" w16cid:durableId="1039015436">
    <w:abstractNumId w:val="41"/>
  </w:num>
  <w:num w:numId="39" w16cid:durableId="1411855782">
    <w:abstractNumId w:val="30"/>
  </w:num>
  <w:num w:numId="40" w16cid:durableId="1680741308">
    <w:abstractNumId w:val="4"/>
  </w:num>
  <w:num w:numId="41" w16cid:durableId="1307934230">
    <w:abstractNumId w:val="26"/>
  </w:num>
  <w:num w:numId="42" w16cid:durableId="1547260435">
    <w:abstractNumId w:val="37"/>
  </w:num>
  <w:num w:numId="43" w16cid:durableId="779421420">
    <w:abstractNumId w:val="22"/>
  </w:num>
  <w:num w:numId="44" w16cid:durableId="1541673286">
    <w:abstractNumId w:val="31"/>
  </w:num>
  <w:num w:numId="45" w16cid:durableId="2126918698">
    <w:abstractNumId w:val="25"/>
  </w:num>
  <w:num w:numId="46" w16cid:durableId="1317733220">
    <w:abstractNumId w:val="36"/>
  </w:num>
  <w:num w:numId="47" w16cid:durableId="2011908381">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cs-CZ" w:vendorID="64" w:dllVersion="4096"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8F9"/>
    <w:rsid w:val="00000468"/>
    <w:rsid w:val="0000077A"/>
    <w:rsid w:val="00000B2C"/>
    <w:rsid w:val="00001A70"/>
    <w:rsid w:val="00001C6F"/>
    <w:rsid w:val="00002567"/>
    <w:rsid w:val="00002E94"/>
    <w:rsid w:val="0000443E"/>
    <w:rsid w:val="00005B3E"/>
    <w:rsid w:val="000061D4"/>
    <w:rsid w:val="00006CC0"/>
    <w:rsid w:val="00007DAE"/>
    <w:rsid w:val="00007DDF"/>
    <w:rsid w:val="000108C0"/>
    <w:rsid w:val="00011256"/>
    <w:rsid w:val="00011B18"/>
    <w:rsid w:val="00011D1E"/>
    <w:rsid w:val="00012B0B"/>
    <w:rsid w:val="00012B5A"/>
    <w:rsid w:val="0001315F"/>
    <w:rsid w:val="000138A9"/>
    <w:rsid w:val="000143D3"/>
    <w:rsid w:val="00014ED9"/>
    <w:rsid w:val="00014FDE"/>
    <w:rsid w:val="00015054"/>
    <w:rsid w:val="00015733"/>
    <w:rsid w:val="00015964"/>
    <w:rsid w:val="00015DAF"/>
    <w:rsid w:val="00016169"/>
    <w:rsid w:val="0001671D"/>
    <w:rsid w:val="00016A1B"/>
    <w:rsid w:val="00016E91"/>
    <w:rsid w:val="00017017"/>
    <w:rsid w:val="000174DD"/>
    <w:rsid w:val="00020C27"/>
    <w:rsid w:val="000211E2"/>
    <w:rsid w:val="000217CA"/>
    <w:rsid w:val="00021BE9"/>
    <w:rsid w:val="00022F46"/>
    <w:rsid w:val="0002342C"/>
    <w:rsid w:val="000235C8"/>
    <w:rsid w:val="0002385B"/>
    <w:rsid w:val="0002434D"/>
    <w:rsid w:val="00024669"/>
    <w:rsid w:val="00025180"/>
    <w:rsid w:val="000251FB"/>
    <w:rsid w:val="000259D0"/>
    <w:rsid w:val="00025A33"/>
    <w:rsid w:val="00025C6A"/>
    <w:rsid w:val="000265C4"/>
    <w:rsid w:val="00026CDE"/>
    <w:rsid w:val="00030ECD"/>
    <w:rsid w:val="0003116B"/>
    <w:rsid w:val="000314AD"/>
    <w:rsid w:val="00031A9F"/>
    <w:rsid w:val="00031D44"/>
    <w:rsid w:val="00032FE3"/>
    <w:rsid w:val="000346DD"/>
    <w:rsid w:val="00034746"/>
    <w:rsid w:val="00034AAE"/>
    <w:rsid w:val="00034B4E"/>
    <w:rsid w:val="00035A16"/>
    <w:rsid w:val="00035A61"/>
    <w:rsid w:val="000365C1"/>
    <w:rsid w:val="000366D4"/>
    <w:rsid w:val="00036BF1"/>
    <w:rsid w:val="000371E0"/>
    <w:rsid w:val="0003755A"/>
    <w:rsid w:val="000402D6"/>
    <w:rsid w:val="00040376"/>
    <w:rsid w:val="00040B70"/>
    <w:rsid w:val="0004254E"/>
    <w:rsid w:val="00042D5A"/>
    <w:rsid w:val="00042E58"/>
    <w:rsid w:val="00042EDC"/>
    <w:rsid w:val="00042EFB"/>
    <w:rsid w:val="00043F78"/>
    <w:rsid w:val="000451DD"/>
    <w:rsid w:val="0004614B"/>
    <w:rsid w:val="0004673F"/>
    <w:rsid w:val="0004688F"/>
    <w:rsid w:val="000473FB"/>
    <w:rsid w:val="00050F89"/>
    <w:rsid w:val="00051368"/>
    <w:rsid w:val="000521D9"/>
    <w:rsid w:val="000528AC"/>
    <w:rsid w:val="000531C7"/>
    <w:rsid w:val="00053275"/>
    <w:rsid w:val="000540F7"/>
    <w:rsid w:val="00055023"/>
    <w:rsid w:val="00055A79"/>
    <w:rsid w:val="00055C34"/>
    <w:rsid w:val="000560F4"/>
    <w:rsid w:val="000564C2"/>
    <w:rsid w:val="00057BC5"/>
    <w:rsid w:val="00057C3A"/>
    <w:rsid w:val="000604A1"/>
    <w:rsid w:val="00061A1C"/>
    <w:rsid w:val="00061BD4"/>
    <w:rsid w:val="00061CE9"/>
    <w:rsid w:val="000624E0"/>
    <w:rsid w:val="00062745"/>
    <w:rsid w:val="00062962"/>
    <w:rsid w:val="00062D45"/>
    <w:rsid w:val="0006346E"/>
    <w:rsid w:val="00064574"/>
    <w:rsid w:val="0006482A"/>
    <w:rsid w:val="00065720"/>
    <w:rsid w:val="000663E7"/>
    <w:rsid w:val="000664FB"/>
    <w:rsid w:val="000675C1"/>
    <w:rsid w:val="00070E66"/>
    <w:rsid w:val="000714C0"/>
    <w:rsid w:val="00071FCB"/>
    <w:rsid w:val="00072C35"/>
    <w:rsid w:val="00072F2C"/>
    <w:rsid w:val="000730A6"/>
    <w:rsid w:val="000739B0"/>
    <w:rsid w:val="0007421F"/>
    <w:rsid w:val="0007486A"/>
    <w:rsid w:val="00074E8A"/>
    <w:rsid w:val="00075237"/>
    <w:rsid w:val="000754E9"/>
    <w:rsid w:val="000757A2"/>
    <w:rsid w:val="00075DE3"/>
    <w:rsid w:val="00076931"/>
    <w:rsid w:val="000769F3"/>
    <w:rsid w:val="00077802"/>
    <w:rsid w:val="00077A79"/>
    <w:rsid w:val="00080E7C"/>
    <w:rsid w:val="00081305"/>
    <w:rsid w:val="00081376"/>
    <w:rsid w:val="00081E99"/>
    <w:rsid w:val="00082648"/>
    <w:rsid w:val="00082751"/>
    <w:rsid w:val="0008356C"/>
    <w:rsid w:val="0008369E"/>
    <w:rsid w:val="00083A80"/>
    <w:rsid w:val="00083BB4"/>
    <w:rsid w:val="00083C0A"/>
    <w:rsid w:val="00083E86"/>
    <w:rsid w:val="0008487A"/>
    <w:rsid w:val="00085077"/>
    <w:rsid w:val="0008515C"/>
    <w:rsid w:val="0008532D"/>
    <w:rsid w:val="0008579B"/>
    <w:rsid w:val="00085823"/>
    <w:rsid w:val="0008583B"/>
    <w:rsid w:val="000862B0"/>
    <w:rsid w:val="000863BA"/>
    <w:rsid w:val="00086595"/>
    <w:rsid w:val="000877ED"/>
    <w:rsid w:val="00087927"/>
    <w:rsid w:val="000879CE"/>
    <w:rsid w:val="00087D70"/>
    <w:rsid w:val="000900CE"/>
    <w:rsid w:val="000900DA"/>
    <w:rsid w:val="0009151B"/>
    <w:rsid w:val="0009249A"/>
    <w:rsid w:val="00092585"/>
    <w:rsid w:val="00093F44"/>
    <w:rsid w:val="0009495F"/>
    <w:rsid w:val="00094B7F"/>
    <w:rsid w:val="00094F1E"/>
    <w:rsid w:val="0009663F"/>
    <w:rsid w:val="00097356"/>
    <w:rsid w:val="00097DE4"/>
    <w:rsid w:val="000A0813"/>
    <w:rsid w:val="000A0DDF"/>
    <w:rsid w:val="000A13F4"/>
    <w:rsid w:val="000A33F8"/>
    <w:rsid w:val="000A3997"/>
    <w:rsid w:val="000A39FF"/>
    <w:rsid w:val="000A3C74"/>
    <w:rsid w:val="000A4A52"/>
    <w:rsid w:val="000A4BB3"/>
    <w:rsid w:val="000A6A83"/>
    <w:rsid w:val="000A6B52"/>
    <w:rsid w:val="000A7624"/>
    <w:rsid w:val="000B0C0F"/>
    <w:rsid w:val="000B0FE5"/>
    <w:rsid w:val="000B26FE"/>
    <w:rsid w:val="000B28B9"/>
    <w:rsid w:val="000B2947"/>
    <w:rsid w:val="000B2AAC"/>
    <w:rsid w:val="000B3486"/>
    <w:rsid w:val="000B3C59"/>
    <w:rsid w:val="000B48B8"/>
    <w:rsid w:val="000B4D2A"/>
    <w:rsid w:val="000B5E26"/>
    <w:rsid w:val="000B661C"/>
    <w:rsid w:val="000B6D1B"/>
    <w:rsid w:val="000C0047"/>
    <w:rsid w:val="000C0E1E"/>
    <w:rsid w:val="000C1DF8"/>
    <w:rsid w:val="000C2CEE"/>
    <w:rsid w:val="000C2E2C"/>
    <w:rsid w:val="000C2FB4"/>
    <w:rsid w:val="000C412E"/>
    <w:rsid w:val="000C45E7"/>
    <w:rsid w:val="000C46FD"/>
    <w:rsid w:val="000C4C22"/>
    <w:rsid w:val="000C4FE6"/>
    <w:rsid w:val="000C5F20"/>
    <w:rsid w:val="000C6CF3"/>
    <w:rsid w:val="000C7217"/>
    <w:rsid w:val="000C764B"/>
    <w:rsid w:val="000C7DDD"/>
    <w:rsid w:val="000D00A8"/>
    <w:rsid w:val="000D0F52"/>
    <w:rsid w:val="000D2432"/>
    <w:rsid w:val="000D31AB"/>
    <w:rsid w:val="000D3283"/>
    <w:rsid w:val="000D442D"/>
    <w:rsid w:val="000D4614"/>
    <w:rsid w:val="000D4A9F"/>
    <w:rsid w:val="000D54B1"/>
    <w:rsid w:val="000D54BF"/>
    <w:rsid w:val="000D5865"/>
    <w:rsid w:val="000D5B26"/>
    <w:rsid w:val="000D60B1"/>
    <w:rsid w:val="000D6236"/>
    <w:rsid w:val="000D69EA"/>
    <w:rsid w:val="000D71A7"/>
    <w:rsid w:val="000E00C1"/>
    <w:rsid w:val="000E0B4D"/>
    <w:rsid w:val="000E0B93"/>
    <w:rsid w:val="000E1BAA"/>
    <w:rsid w:val="000E258E"/>
    <w:rsid w:val="000E30AA"/>
    <w:rsid w:val="000E3463"/>
    <w:rsid w:val="000E376E"/>
    <w:rsid w:val="000E43CA"/>
    <w:rsid w:val="000E446A"/>
    <w:rsid w:val="000E577A"/>
    <w:rsid w:val="000E6044"/>
    <w:rsid w:val="000E6718"/>
    <w:rsid w:val="000E6E59"/>
    <w:rsid w:val="000E78B6"/>
    <w:rsid w:val="000F03BC"/>
    <w:rsid w:val="000F0588"/>
    <w:rsid w:val="000F0EF7"/>
    <w:rsid w:val="000F1147"/>
    <w:rsid w:val="000F1664"/>
    <w:rsid w:val="000F27EA"/>
    <w:rsid w:val="000F2BA0"/>
    <w:rsid w:val="000F3D0A"/>
    <w:rsid w:val="000F5121"/>
    <w:rsid w:val="000F59D5"/>
    <w:rsid w:val="000F5AE7"/>
    <w:rsid w:val="000F5B88"/>
    <w:rsid w:val="000F68A9"/>
    <w:rsid w:val="000F6C17"/>
    <w:rsid w:val="000F770D"/>
    <w:rsid w:val="000F7ADF"/>
    <w:rsid w:val="001004E7"/>
    <w:rsid w:val="00100B88"/>
    <w:rsid w:val="00100CB0"/>
    <w:rsid w:val="00100F10"/>
    <w:rsid w:val="00101580"/>
    <w:rsid w:val="00101BAA"/>
    <w:rsid w:val="00102149"/>
    <w:rsid w:val="00102AB8"/>
    <w:rsid w:val="00102BBE"/>
    <w:rsid w:val="0010396A"/>
    <w:rsid w:val="00103A43"/>
    <w:rsid w:val="0010403D"/>
    <w:rsid w:val="0010411E"/>
    <w:rsid w:val="00104A41"/>
    <w:rsid w:val="00104C48"/>
    <w:rsid w:val="00105028"/>
    <w:rsid w:val="00105045"/>
    <w:rsid w:val="0010628B"/>
    <w:rsid w:val="001070A4"/>
    <w:rsid w:val="00107630"/>
    <w:rsid w:val="001077F0"/>
    <w:rsid w:val="00110586"/>
    <w:rsid w:val="001108A0"/>
    <w:rsid w:val="00111A9B"/>
    <w:rsid w:val="00111BD1"/>
    <w:rsid w:val="00112379"/>
    <w:rsid w:val="00112471"/>
    <w:rsid w:val="00112BA8"/>
    <w:rsid w:val="0011310F"/>
    <w:rsid w:val="00113990"/>
    <w:rsid w:val="00114504"/>
    <w:rsid w:val="00115027"/>
    <w:rsid w:val="00115096"/>
    <w:rsid w:val="001157FE"/>
    <w:rsid w:val="0011598D"/>
    <w:rsid w:val="00116492"/>
    <w:rsid w:val="001175AA"/>
    <w:rsid w:val="00120633"/>
    <w:rsid w:val="00121700"/>
    <w:rsid w:val="00121C2F"/>
    <w:rsid w:val="00121C82"/>
    <w:rsid w:val="00121FC6"/>
    <w:rsid w:val="00122004"/>
    <w:rsid w:val="001221E7"/>
    <w:rsid w:val="00122869"/>
    <w:rsid w:val="0012292C"/>
    <w:rsid w:val="00122ED1"/>
    <w:rsid w:val="00122EFD"/>
    <w:rsid w:val="00123103"/>
    <w:rsid w:val="001232D0"/>
    <w:rsid w:val="00123554"/>
    <w:rsid w:val="00123581"/>
    <w:rsid w:val="00123EA5"/>
    <w:rsid w:val="0012403F"/>
    <w:rsid w:val="00125BB9"/>
    <w:rsid w:val="00125CEC"/>
    <w:rsid w:val="001262D4"/>
    <w:rsid w:val="00126D1F"/>
    <w:rsid w:val="00127139"/>
    <w:rsid w:val="00127A9D"/>
    <w:rsid w:val="00130141"/>
    <w:rsid w:val="00130772"/>
    <w:rsid w:val="00130B2E"/>
    <w:rsid w:val="00132490"/>
    <w:rsid w:val="001326B0"/>
    <w:rsid w:val="001326FC"/>
    <w:rsid w:val="00132B02"/>
    <w:rsid w:val="00132BB8"/>
    <w:rsid w:val="0013309D"/>
    <w:rsid w:val="00133A3F"/>
    <w:rsid w:val="00134F59"/>
    <w:rsid w:val="00135834"/>
    <w:rsid w:val="001359BC"/>
    <w:rsid w:val="00135C25"/>
    <w:rsid w:val="00136741"/>
    <w:rsid w:val="00136B09"/>
    <w:rsid w:val="00136C70"/>
    <w:rsid w:val="00137309"/>
    <w:rsid w:val="001376BD"/>
    <w:rsid w:val="0014042E"/>
    <w:rsid w:val="001407CA"/>
    <w:rsid w:val="00140D7F"/>
    <w:rsid w:val="001415FA"/>
    <w:rsid w:val="00141C86"/>
    <w:rsid w:val="001426AC"/>
    <w:rsid w:val="001426C3"/>
    <w:rsid w:val="001428DF"/>
    <w:rsid w:val="00142CC0"/>
    <w:rsid w:val="00143C10"/>
    <w:rsid w:val="00144379"/>
    <w:rsid w:val="00144A9A"/>
    <w:rsid w:val="00145208"/>
    <w:rsid w:val="00145506"/>
    <w:rsid w:val="001456D9"/>
    <w:rsid w:val="001478EE"/>
    <w:rsid w:val="001509FC"/>
    <w:rsid w:val="00150A4C"/>
    <w:rsid w:val="00151052"/>
    <w:rsid w:val="001510F9"/>
    <w:rsid w:val="0015199C"/>
    <w:rsid w:val="00151A80"/>
    <w:rsid w:val="00151EC8"/>
    <w:rsid w:val="00151FD0"/>
    <w:rsid w:val="001521AA"/>
    <w:rsid w:val="00154618"/>
    <w:rsid w:val="00154B45"/>
    <w:rsid w:val="00155817"/>
    <w:rsid w:val="001559C5"/>
    <w:rsid w:val="001561D3"/>
    <w:rsid w:val="001565B3"/>
    <w:rsid w:val="001619C3"/>
    <w:rsid w:val="00162664"/>
    <w:rsid w:val="00162674"/>
    <w:rsid w:val="00162CD5"/>
    <w:rsid w:val="00163256"/>
    <w:rsid w:val="00163441"/>
    <w:rsid w:val="00163C2E"/>
    <w:rsid w:val="00164126"/>
    <w:rsid w:val="00164473"/>
    <w:rsid w:val="00164958"/>
    <w:rsid w:val="00164CA4"/>
    <w:rsid w:val="001653A4"/>
    <w:rsid w:val="001659B2"/>
    <w:rsid w:val="00165D1D"/>
    <w:rsid w:val="001665FE"/>
    <w:rsid w:val="001668EC"/>
    <w:rsid w:val="001702F6"/>
    <w:rsid w:val="001704B1"/>
    <w:rsid w:val="001707BE"/>
    <w:rsid w:val="00170959"/>
    <w:rsid w:val="00171D4F"/>
    <w:rsid w:val="00173114"/>
    <w:rsid w:val="0017430A"/>
    <w:rsid w:val="001744FC"/>
    <w:rsid w:val="001745FB"/>
    <w:rsid w:val="001758E3"/>
    <w:rsid w:val="00175CC2"/>
    <w:rsid w:val="00175D23"/>
    <w:rsid w:val="00176DA0"/>
    <w:rsid w:val="0017708F"/>
    <w:rsid w:val="00177304"/>
    <w:rsid w:val="00177700"/>
    <w:rsid w:val="001778C2"/>
    <w:rsid w:val="00177A14"/>
    <w:rsid w:val="00181829"/>
    <w:rsid w:val="00182319"/>
    <w:rsid w:val="00183246"/>
    <w:rsid w:val="001833AF"/>
    <w:rsid w:val="00183F7A"/>
    <w:rsid w:val="00184E12"/>
    <w:rsid w:val="0018501C"/>
    <w:rsid w:val="00185453"/>
    <w:rsid w:val="001865EE"/>
    <w:rsid w:val="00190D46"/>
    <w:rsid w:val="0019116B"/>
    <w:rsid w:val="00191871"/>
    <w:rsid w:val="001928DE"/>
    <w:rsid w:val="00192E42"/>
    <w:rsid w:val="0019316B"/>
    <w:rsid w:val="00193BF3"/>
    <w:rsid w:val="001945E8"/>
    <w:rsid w:val="00196C96"/>
    <w:rsid w:val="00196F16"/>
    <w:rsid w:val="00196F9B"/>
    <w:rsid w:val="001975FB"/>
    <w:rsid w:val="00197F6C"/>
    <w:rsid w:val="001A020A"/>
    <w:rsid w:val="001A0607"/>
    <w:rsid w:val="001A0BE2"/>
    <w:rsid w:val="001A0ECA"/>
    <w:rsid w:val="001A0FA6"/>
    <w:rsid w:val="001A28C4"/>
    <w:rsid w:val="001A2E51"/>
    <w:rsid w:val="001A2E7A"/>
    <w:rsid w:val="001A2EE4"/>
    <w:rsid w:val="001A3060"/>
    <w:rsid w:val="001A3300"/>
    <w:rsid w:val="001A36A8"/>
    <w:rsid w:val="001A413B"/>
    <w:rsid w:val="001A4521"/>
    <w:rsid w:val="001A4B43"/>
    <w:rsid w:val="001A4F9A"/>
    <w:rsid w:val="001A5390"/>
    <w:rsid w:val="001A5E8D"/>
    <w:rsid w:val="001A6A07"/>
    <w:rsid w:val="001B0616"/>
    <w:rsid w:val="001B0A44"/>
    <w:rsid w:val="001B0AA2"/>
    <w:rsid w:val="001B0EC3"/>
    <w:rsid w:val="001B1264"/>
    <w:rsid w:val="001B13C8"/>
    <w:rsid w:val="001B144D"/>
    <w:rsid w:val="001B34CD"/>
    <w:rsid w:val="001B3942"/>
    <w:rsid w:val="001B4376"/>
    <w:rsid w:val="001B46D4"/>
    <w:rsid w:val="001B5022"/>
    <w:rsid w:val="001B59DE"/>
    <w:rsid w:val="001B5D0F"/>
    <w:rsid w:val="001B61C1"/>
    <w:rsid w:val="001B632C"/>
    <w:rsid w:val="001B7091"/>
    <w:rsid w:val="001B72E7"/>
    <w:rsid w:val="001C0343"/>
    <w:rsid w:val="001C040E"/>
    <w:rsid w:val="001C0504"/>
    <w:rsid w:val="001C0788"/>
    <w:rsid w:val="001C0ED9"/>
    <w:rsid w:val="001C1390"/>
    <w:rsid w:val="001C13AC"/>
    <w:rsid w:val="001C144A"/>
    <w:rsid w:val="001C1EB4"/>
    <w:rsid w:val="001C2003"/>
    <w:rsid w:val="001C241E"/>
    <w:rsid w:val="001C283F"/>
    <w:rsid w:val="001C308A"/>
    <w:rsid w:val="001C3A08"/>
    <w:rsid w:val="001C439F"/>
    <w:rsid w:val="001C4DAE"/>
    <w:rsid w:val="001C5054"/>
    <w:rsid w:val="001C5AD0"/>
    <w:rsid w:val="001C6667"/>
    <w:rsid w:val="001C7C8D"/>
    <w:rsid w:val="001D1073"/>
    <w:rsid w:val="001D13A0"/>
    <w:rsid w:val="001D1656"/>
    <w:rsid w:val="001D1A84"/>
    <w:rsid w:val="001D1CF9"/>
    <w:rsid w:val="001D273E"/>
    <w:rsid w:val="001D3885"/>
    <w:rsid w:val="001D38CF"/>
    <w:rsid w:val="001D4289"/>
    <w:rsid w:val="001D51A9"/>
    <w:rsid w:val="001D528C"/>
    <w:rsid w:val="001D663D"/>
    <w:rsid w:val="001E0251"/>
    <w:rsid w:val="001E0458"/>
    <w:rsid w:val="001E0510"/>
    <w:rsid w:val="001E1157"/>
    <w:rsid w:val="001E1C75"/>
    <w:rsid w:val="001E25A4"/>
    <w:rsid w:val="001E27AE"/>
    <w:rsid w:val="001E290E"/>
    <w:rsid w:val="001E3CFF"/>
    <w:rsid w:val="001E411A"/>
    <w:rsid w:val="001E4D11"/>
    <w:rsid w:val="001E5715"/>
    <w:rsid w:val="001E5F61"/>
    <w:rsid w:val="001E6359"/>
    <w:rsid w:val="001E64E6"/>
    <w:rsid w:val="001E72A4"/>
    <w:rsid w:val="001E7A19"/>
    <w:rsid w:val="001E7FB2"/>
    <w:rsid w:val="001F003A"/>
    <w:rsid w:val="001F0A45"/>
    <w:rsid w:val="001F1B3D"/>
    <w:rsid w:val="001F270E"/>
    <w:rsid w:val="001F3075"/>
    <w:rsid w:val="001F33E0"/>
    <w:rsid w:val="001F33EA"/>
    <w:rsid w:val="001F3A5E"/>
    <w:rsid w:val="001F3CDA"/>
    <w:rsid w:val="001F479B"/>
    <w:rsid w:val="001F4CE7"/>
    <w:rsid w:val="001F5E1F"/>
    <w:rsid w:val="001F69F6"/>
    <w:rsid w:val="001F6A31"/>
    <w:rsid w:val="001F6EF4"/>
    <w:rsid w:val="001F6F9C"/>
    <w:rsid w:val="001F7607"/>
    <w:rsid w:val="001F76CC"/>
    <w:rsid w:val="001F7844"/>
    <w:rsid w:val="0020026C"/>
    <w:rsid w:val="00200AD9"/>
    <w:rsid w:val="0020129D"/>
    <w:rsid w:val="00202440"/>
    <w:rsid w:val="002027D8"/>
    <w:rsid w:val="002036EF"/>
    <w:rsid w:val="00203F8A"/>
    <w:rsid w:val="00204162"/>
    <w:rsid w:val="00204325"/>
    <w:rsid w:val="00205811"/>
    <w:rsid w:val="00205923"/>
    <w:rsid w:val="00206169"/>
    <w:rsid w:val="00206602"/>
    <w:rsid w:val="002068F7"/>
    <w:rsid w:val="002070C1"/>
    <w:rsid w:val="00207F39"/>
    <w:rsid w:val="00210872"/>
    <w:rsid w:val="00211183"/>
    <w:rsid w:val="002133A5"/>
    <w:rsid w:val="002136CF"/>
    <w:rsid w:val="002137B6"/>
    <w:rsid w:val="002137C6"/>
    <w:rsid w:val="00213DD1"/>
    <w:rsid w:val="00214656"/>
    <w:rsid w:val="00216C25"/>
    <w:rsid w:val="00217951"/>
    <w:rsid w:val="00220145"/>
    <w:rsid w:val="002204C5"/>
    <w:rsid w:val="00220E0F"/>
    <w:rsid w:val="00222015"/>
    <w:rsid w:val="002220AA"/>
    <w:rsid w:val="00222AB6"/>
    <w:rsid w:val="00222FD4"/>
    <w:rsid w:val="002230C1"/>
    <w:rsid w:val="002231C5"/>
    <w:rsid w:val="002232B3"/>
    <w:rsid w:val="002232E8"/>
    <w:rsid w:val="00224246"/>
    <w:rsid w:val="00225C04"/>
    <w:rsid w:val="00225C5B"/>
    <w:rsid w:val="0022676E"/>
    <w:rsid w:val="002276D6"/>
    <w:rsid w:val="00227E13"/>
    <w:rsid w:val="00230CCE"/>
    <w:rsid w:val="00231F3D"/>
    <w:rsid w:val="00232A7E"/>
    <w:rsid w:val="00233E1A"/>
    <w:rsid w:val="002355DD"/>
    <w:rsid w:val="00235654"/>
    <w:rsid w:val="0023665C"/>
    <w:rsid w:val="00237918"/>
    <w:rsid w:val="00241D76"/>
    <w:rsid w:val="002428AA"/>
    <w:rsid w:val="00242ADB"/>
    <w:rsid w:val="00243188"/>
    <w:rsid w:val="002437B8"/>
    <w:rsid w:val="0024393F"/>
    <w:rsid w:val="00243A96"/>
    <w:rsid w:val="00245075"/>
    <w:rsid w:val="002454B7"/>
    <w:rsid w:val="002463CD"/>
    <w:rsid w:val="002471E6"/>
    <w:rsid w:val="00247B47"/>
    <w:rsid w:val="0025055F"/>
    <w:rsid w:val="00251565"/>
    <w:rsid w:val="002515A2"/>
    <w:rsid w:val="00252413"/>
    <w:rsid w:val="00252F0B"/>
    <w:rsid w:val="0025366B"/>
    <w:rsid w:val="00253688"/>
    <w:rsid w:val="002538A3"/>
    <w:rsid w:val="00254175"/>
    <w:rsid w:val="002542E1"/>
    <w:rsid w:val="002545A2"/>
    <w:rsid w:val="00254867"/>
    <w:rsid w:val="002549E4"/>
    <w:rsid w:val="00254E91"/>
    <w:rsid w:val="002555F1"/>
    <w:rsid w:val="00256730"/>
    <w:rsid w:val="00256852"/>
    <w:rsid w:val="00260273"/>
    <w:rsid w:val="00260B7E"/>
    <w:rsid w:val="00261877"/>
    <w:rsid w:val="002618F8"/>
    <w:rsid w:val="002622F0"/>
    <w:rsid w:val="002625CC"/>
    <w:rsid w:val="00262B23"/>
    <w:rsid w:val="002637AA"/>
    <w:rsid w:val="00263C5E"/>
    <w:rsid w:val="00264619"/>
    <w:rsid w:val="0026474E"/>
    <w:rsid w:val="002647C2"/>
    <w:rsid w:val="0026487E"/>
    <w:rsid w:val="0026495E"/>
    <w:rsid w:val="00264E9C"/>
    <w:rsid w:val="00265D0A"/>
    <w:rsid w:val="002669FC"/>
    <w:rsid w:val="00266B31"/>
    <w:rsid w:val="00266DF5"/>
    <w:rsid w:val="00267A4E"/>
    <w:rsid w:val="00267E09"/>
    <w:rsid w:val="0027097C"/>
    <w:rsid w:val="00271478"/>
    <w:rsid w:val="002716E8"/>
    <w:rsid w:val="002721C2"/>
    <w:rsid w:val="002724F4"/>
    <w:rsid w:val="002725F6"/>
    <w:rsid w:val="00273428"/>
    <w:rsid w:val="00274752"/>
    <w:rsid w:val="00274B80"/>
    <w:rsid w:val="00275901"/>
    <w:rsid w:val="00276464"/>
    <w:rsid w:val="002768F3"/>
    <w:rsid w:val="00276FBA"/>
    <w:rsid w:val="00277D7C"/>
    <w:rsid w:val="0028071F"/>
    <w:rsid w:val="00280AB5"/>
    <w:rsid w:val="00280C2C"/>
    <w:rsid w:val="002816F5"/>
    <w:rsid w:val="00281848"/>
    <w:rsid w:val="00281A3D"/>
    <w:rsid w:val="00281BB0"/>
    <w:rsid w:val="00282FB2"/>
    <w:rsid w:val="0028330D"/>
    <w:rsid w:val="00283949"/>
    <w:rsid w:val="00283E34"/>
    <w:rsid w:val="002846DE"/>
    <w:rsid w:val="002854B2"/>
    <w:rsid w:val="00286FBE"/>
    <w:rsid w:val="00290496"/>
    <w:rsid w:val="00290F13"/>
    <w:rsid w:val="00291100"/>
    <w:rsid w:val="00291163"/>
    <w:rsid w:val="00291BA0"/>
    <w:rsid w:val="002935B3"/>
    <w:rsid w:val="00293B74"/>
    <w:rsid w:val="00294024"/>
    <w:rsid w:val="002953EC"/>
    <w:rsid w:val="002970D9"/>
    <w:rsid w:val="002A0FF6"/>
    <w:rsid w:val="002A15A9"/>
    <w:rsid w:val="002A230F"/>
    <w:rsid w:val="002A314A"/>
    <w:rsid w:val="002A380D"/>
    <w:rsid w:val="002A3F08"/>
    <w:rsid w:val="002A4C1F"/>
    <w:rsid w:val="002A54A4"/>
    <w:rsid w:val="002A5546"/>
    <w:rsid w:val="002A5EF1"/>
    <w:rsid w:val="002A7AE1"/>
    <w:rsid w:val="002A7D16"/>
    <w:rsid w:val="002A7DC0"/>
    <w:rsid w:val="002B049A"/>
    <w:rsid w:val="002B0561"/>
    <w:rsid w:val="002B0FF6"/>
    <w:rsid w:val="002B16CD"/>
    <w:rsid w:val="002B2214"/>
    <w:rsid w:val="002B2B4D"/>
    <w:rsid w:val="002B2FD6"/>
    <w:rsid w:val="002B42A7"/>
    <w:rsid w:val="002B475A"/>
    <w:rsid w:val="002B4B0C"/>
    <w:rsid w:val="002B4C66"/>
    <w:rsid w:val="002B4E11"/>
    <w:rsid w:val="002B53DD"/>
    <w:rsid w:val="002B5B06"/>
    <w:rsid w:val="002B73F6"/>
    <w:rsid w:val="002B74C5"/>
    <w:rsid w:val="002B782A"/>
    <w:rsid w:val="002C0096"/>
    <w:rsid w:val="002C029A"/>
    <w:rsid w:val="002C051B"/>
    <w:rsid w:val="002C15A4"/>
    <w:rsid w:val="002C2AF7"/>
    <w:rsid w:val="002C44E2"/>
    <w:rsid w:val="002C452E"/>
    <w:rsid w:val="002C6476"/>
    <w:rsid w:val="002C715E"/>
    <w:rsid w:val="002C7753"/>
    <w:rsid w:val="002C7B26"/>
    <w:rsid w:val="002D0276"/>
    <w:rsid w:val="002D0465"/>
    <w:rsid w:val="002D052E"/>
    <w:rsid w:val="002D0915"/>
    <w:rsid w:val="002D1839"/>
    <w:rsid w:val="002D1929"/>
    <w:rsid w:val="002D1D74"/>
    <w:rsid w:val="002D27E8"/>
    <w:rsid w:val="002D3351"/>
    <w:rsid w:val="002D3D9B"/>
    <w:rsid w:val="002D566C"/>
    <w:rsid w:val="002D665F"/>
    <w:rsid w:val="002D682C"/>
    <w:rsid w:val="002D713A"/>
    <w:rsid w:val="002D744D"/>
    <w:rsid w:val="002D750C"/>
    <w:rsid w:val="002D76AF"/>
    <w:rsid w:val="002D7C72"/>
    <w:rsid w:val="002E02E4"/>
    <w:rsid w:val="002E21CB"/>
    <w:rsid w:val="002E272A"/>
    <w:rsid w:val="002E2AE6"/>
    <w:rsid w:val="002E3390"/>
    <w:rsid w:val="002E435E"/>
    <w:rsid w:val="002E46A6"/>
    <w:rsid w:val="002E58D1"/>
    <w:rsid w:val="002E62CB"/>
    <w:rsid w:val="002E6590"/>
    <w:rsid w:val="002E72E6"/>
    <w:rsid w:val="002E75F8"/>
    <w:rsid w:val="002E781C"/>
    <w:rsid w:val="002E7DB3"/>
    <w:rsid w:val="002F03FA"/>
    <w:rsid w:val="002F04F2"/>
    <w:rsid w:val="002F0601"/>
    <w:rsid w:val="002F0762"/>
    <w:rsid w:val="002F100F"/>
    <w:rsid w:val="002F114A"/>
    <w:rsid w:val="002F26DA"/>
    <w:rsid w:val="002F2A13"/>
    <w:rsid w:val="002F2AD5"/>
    <w:rsid w:val="002F2B4E"/>
    <w:rsid w:val="002F3F7F"/>
    <w:rsid w:val="002F446C"/>
    <w:rsid w:val="002F53E2"/>
    <w:rsid w:val="002F5BFB"/>
    <w:rsid w:val="002F6D02"/>
    <w:rsid w:val="002F71BB"/>
    <w:rsid w:val="002F76E8"/>
    <w:rsid w:val="002F77CB"/>
    <w:rsid w:val="00301C63"/>
    <w:rsid w:val="00301DEC"/>
    <w:rsid w:val="00302435"/>
    <w:rsid w:val="0030282C"/>
    <w:rsid w:val="00303ABA"/>
    <w:rsid w:val="00304A07"/>
    <w:rsid w:val="00304C9A"/>
    <w:rsid w:val="0030505C"/>
    <w:rsid w:val="003050CE"/>
    <w:rsid w:val="0030533D"/>
    <w:rsid w:val="0030536A"/>
    <w:rsid w:val="003071AD"/>
    <w:rsid w:val="003074AF"/>
    <w:rsid w:val="00307F56"/>
    <w:rsid w:val="00310824"/>
    <w:rsid w:val="00310969"/>
    <w:rsid w:val="00310DDE"/>
    <w:rsid w:val="00310EFE"/>
    <w:rsid w:val="003113EC"/>
    <w:rsid w:val="00311AD6"/>
    <w:rsid w:val="00311C95"/>
    <w:rsid w:val="0031210C"/>
    <w:rsid w:val="0031248D"/>
    <w:rsid w:val="003126C0"/>
    <w:rsid w:val="0031307A"/>
    <w:rsid w:val="00314F27"/>
    <w:rsid w:val="00316338"/>
    <w:rsid w:val="003163AF"/>
    <w:rsid w:val="00317115"/>
    <w:rsid w:val="00317D08"/>
    <w:rsid w:val="00317D28"/>
    <w:rsid w:val="003207A0"/>
    <w:rsid w:val="00320D57"/>
    <w:rsid w:val="00321AD6"/>
    <w:rsid w:val="00321B85"/>
    <w:rsid w:val="00321EA1"/>
    <w:rsid w:val="003233FD"/>
    <w:rsid w:val="0032340A"/>
    <w:rsid w:val="00323988"/>
    <w:rsid w:val="00323DF7"/>
    <w:rsid w:val="00323FFE"/>
    <w:rsid w:val="00325057"/>
    <w:rsid w:val="0032510B"/>
    <w:rsid w:val="00325B78"/>
    <w:rsid w:val="003262CF"/>
    <w:rsid w:val="00326E75"/>
    <w:rsid w:val="00327D1F"/>
    <w:rsid w:val="00327D3F"/>
    <w:rsid w:val="00330434"/>
    <w:rsid w:val="00330528"/>
    <w:rsid w:val="003308A2"/>
    <w:rsid w:val="00331799"/>
    <w:rsid w:val="003323A0"/>
    <w:rsid w:val="003324EC"/>
    <w:rsid w:val="0033269B"/>
    <w:rsid w:val="003327EC"/>
    <w:rsid w:val="00332D86"/>
    <w:rsid w:val="003330C2"/>
    <w:rsid w:val="00333BB8"/>
    <w:rsid w:val="00334096"/>
    <w:rsid w:val="003341C7"/>
    <w:rsid w:val="00334B98"/>
    <w:rsid w:val="00334F24"/>
    <w:rsid w:val="00335528"/>
    <w:rsid w:val="00335F8E"/>
    <w:rsid w:val="003368D4"/>
    <w:rsid w:val="00337F58"/>
    <w:rsid w:val="003413AA"/>
    <w:rsid w:val="00342204"/>
    <w:rsid w:val="00342A88"/>
    <w:rsid w:val="00342D10"/>
    <w:rsid w:val="0034309B"/>
    <w:rsid w:val="00343AC2"/>
    <w:rsid w:val="0034437F"/>
    <w:rsid w:val="00344734"/>
    <w:rsid w:val="00344FB5"/>
    <w:rsid w:val="00345003"/>
    <w:rsid w:val="003452CE"/>
    <w:rsid w:val="0034539F"/>
    <w:rsid w:val="00345DD9"/>
    <w:rsid w:val="003469E8"/>
    <w:rsid w:val="00346D43"/>
    <w:rsid w:val="003478EE"/>
    <w:rsid w:val="00347F6D"/>
    <w:rsid w:val="003502DE"/>
    <w:rsid w:val="003512AA"/>
    <w:rsid w:val="003519E3"/>
    <w:rsid w:val="003521B6"/>
    <w:rsid w:val="00352907"/>
    <w:rsid w:val="00353B34"/>
    <w:rsid w:val="00353DEC"/>
    <w:rsid w:val="00353F48"/>
    <w:rsid w:val="003547E9"/>
    <w:rsid w:val="00354E8D"/>
    <w:rsid w:val="00355BB0"/>
    <w:rsid w:val="00355BC4"/>
    <w:rsid w:val="00355D36"/>
    <w:rsid w:val="00356ADD"/>
    <w:rsid w:val="003604FF"/>
    <w:rsid w:val="003609AB"/>
    <w:rsid w:val="00361DA2"/>
    <w:rsid w:val="00361E31"/>
    <w:rsid w:val="00361E62"/>
    <w:rsid w:val="00362109"/>
    <w:rsid w:val="00362710"/>
    <w:rsid w:val="003647F8"/>
    <w:rsid w:val="0036569C"/>
    <w:rsid w:val="0036612D"/>
    <w:rsid w:val="003704EE"/>
    <w:rsid w:val="00370E1B"/>
    <w:rsid w:val="00370F40"/>
    <w:rsid w:val="0037110C"/>
    <w:rsid w:val="0037129C"/>
    <w:rsid w:val="00371523"/>
    <w:rsid w:val="003719FD"/>
    <w:rsid w:val="003726EA"/>
    <w:rsid w:val="00372AB8"/>
    <w:rsid w:val="00372E7F"/>
    <w:rsid w:val="00373236"/>
    <w:rsid w:val="00373868"/>
    <w:rsid w:val="003738E5"/>
    <w:rsid w:val="00374A6E"/>
    <w:rsid w:val="00375445"/>
    <w:rsid w:val="0037674A"/>
    <w:rsid w:val="00376FDB"/>
    <w:rsid w:val="00377432"/>
    <w:rsid w:val="00377BC0"/>
    <w:rsid w:val="00380F88"/>
    <w:rsid w:val="00382094"/>
    <w:rsid w:val="0038220E"/>
    <w:rsid w:val="00382712"/>
    <w:rsid w:val="003839BD"/>
    <w:rsid w:val="00384C39"/>
    <w:rsid w:val="003860CD"/>
    <w:rsid w:val="0038778E"/>
    <w:rsid w:val="003878E1"/>
    <w:rsid w:val="00387C77"/>
    <w:rsid w:val="003903DB"/>
    <w:rsid w:val="003916AC"/>
    <w:rsid w:val="003918D7"/>
    <w:rsid w:val="00392DC3"/>
    <w:rsid w:val="003942B9"/>
    <w:rsid w:val="00394E9C"/>
    <w:rsid w:val="00394F3B"/>
    <w:rsid w:val="0039616D"/>
    <w:rsid w:val="00396489"/>
    <w:rsid w:val="003968C4"/>
    <w:rsid w:val="00397A69"/>
    <w:rsid w:val="00397E00"/>
    <w:rsid w:val="003A0636"/>
    <w:rsid w:val="003A53C2"/>
    <w:rsid w:val="003A6116"/>
    <w:rsid w:val="003A619C"/>
    <w:rsid w:val="003A6431"/>
    <w:rsid w:val="003A6472"/>
    <w:rsid w:val="003A70E6"/>
    <w:rsid w:val="003B0074"/>
    <w:rsid w:val="003B11D8"/>
    <w:rsid w:val="003B2625"/>
    <w:rsid w:val="003B2780"/>
    <w:rsid w:val="003B2E97"/>
    <w:rsid w:val="003B2FBE"/>
    <w:rsid w:val="003B3408"/>
    <w:rsid w:val="003B3855"/>
    <w:rsid w:val="003B43BF"/>
    <w:rsid w:val="003B4838"/>
    <w:rsid w:val="003B51F1"/>
    <w:rsid w:val="003B5AA8"/>
    <w:rsid w:val="003B684C"/>
    <w:rsid w:val="003B75E4"/>
    <w:rsid w:val="003B7689"/>
    <w:rsid w:val="003B7AFA"/>
    <w:rsid w:val="003C0232"/>
    <w:rsid w:val="003C09D8"/>
    <w:rsid w:val="003C0A7D"/>
    <w:rsid w:val="003C15AC"/>
    <w:rsid w:val="003C323F"/>
    <w:rsid w:val="003C33DE"/>
    <w:rsid w:val="003C384D"/>
    <w:rsid w:val="003C40BB"/>
    <w:rsid w:val="003C4187"/>
    <w:rsid w:val="003C4547"/>
    <w:rsid w:val="003C4BC7"/>
    <w:rsid w:val="003C5061"/>
    <w:rsid w:val="003C520C"/>
    <w:rsid w:val="003C5AF5"/>
    <w:rsid w:val="003C60D8"/>
    <w:rsid w:val="003C60F5"/>
    <w:rsid w:val="003C62E9"/>
    <w:rsid w:val="003C6690"/>
    <w:rsid w:val="003C6709"/>
    <w:rsid w:val="003D0B65"/>
    <w:rsid w:val="003D0F77"/>
    <w:rsid w:val="003D1079"/>
    <w:rsid w:val="003D1767"/>
    <w:rsid w:val="003D1C8B"/>
    <w:rsid w:val="003D1D82"/>
    <w:rsid w:val="003D3827"/>
    <w:rsid w:val="003D613F"/>
    <w:rsid w:val="003D6144"/>
    <w:rsid w:val="003D670F"/>
    <w:rsid w:val="003D67B0"/>
    <w:rsid w:val="003D703E"/>
    <w:rsid w:val="003D7142"/>
    <w:rsid w:val="003D7D38"/>
    <w:rsid w:val="003E173E"/>
    <w:rsid w:val="003E18DF"/>
    <w:rsid w:val="003E2BE5"/>
    <w:rsid w:val="003E338A"/>
    <w:rsid w:val="003E381C"/>
    <w:rsid w:val="003E3A20"/>
    <w:rsid w:val="003E4CF8"/>
    <w:rsid w:val="003E54BD"/>
    <w:rsid w:val="003E5A40"/>
    <w:rsid w:val="003E5B2A"/>
    <w:rsid w:val="003E67F4"/>
    <w:rsid w:val="003E7141"/>
    <w:rsid w:val="003E74BA"/>
    <w:rsid w:val="003E7D1D"/>
    <w:rsid w:val="003F10BF"/>
    <w:rsid w:val="003F122D"/>
    <w:rsid w:val="003F28E9"/>
    <w:rsid w:val="003F2CE3"/>
    <w:rsid w:val="003F2CE4"/>
    <w:rsid w:val="003F3AA0"/>
    <w:rsid w:val="003F3B07"/>
    <w:rsid w:val="003F418D"/>
    <w:rsid w:val="003F55AF"/>
    <w:rsid w:val="003F5D41"/>
    <w:rsid w:val="003F5E31"/>
    <w:rsid w:val="003F730C"/>
    <w:rsid w:val="003F790D"/>
    <w:rsid w:val="003F7E5B"/>
    <w:rsid w:val="00400F86"/>
    <w:rsid w:val="0040146B"/>
    <w:rsid w:val="004016DC"/>
    <w:rsid w:val="0040288A"/>
    <w:rsid w:val="00402927"/>
    <w:rsid w:val="00403AB2"/>
    <w:rsid w:val="00403F21"/>
    <w:rsid w:val="00404926"/>
    <w:rsid w:val="00405590"/>
    <w:rsid w:val="004056B9"/>
    <w:rsid w:val="00406469"/>
    <w:rsid w:val="0040653E"/>
    <w:rsid w:val="0040688D"/>
    <w:rsid w:val="00406A37"/>
    <w:rsid w:val="00406EB1"/>
    <w:rsid w:val="00410B5B"/>
    <w:rsid w:val="0041148D"/>
    <w:rsid w:val="00411B58"/>
    <w:rsid w:val="00412187"/>
    <w:rsid w:val="00412400"/>
    <w:rsid w:val="00412414"/>
    <w:rsid w:val="00412722"/>
    <w:rsid w:val="00413F78"/>
    <w:rsid w:val="004142DA"/>
    <w:rsid w:val="00414835"/>
    <w:rsid w:val="00414FF0"/>
    <w:rsid w:val="00415A8E"/>
    <w:rsid w:val="00416396"/>
    <w:rsid w:val="0041721E"/>
    <w:rsid w:val="00417EA1"/>
    <w:rsid w:val="004214B4"/>
    <w:rsid w:val="004215E8"/>
    <w:rsid w:val="004219DC"/>
    <w:rsid w:val="00421A3A"/>
    <w:rsid w:val="00422A1B"/>
    <w:rsid w:val="0042317D"/>
    <w:rsid w:val="004231C6"/>
    <w:rsid w:val="004234DB"/>
    <w:rsid w:val="00425147"/>
    <w:rsid w:val="00425295"/>
    <w:rsid w:val="0042534C"/>
    <w:rsid w:val="00425D12"/>
    <w:rsid w:val="00426F2B"/>
    <w:rsid w:val="004278A1"/>
    <w:rsid w:val="00430033"/>
    <w:rsid w:val="004311B4"/>
    <w:rsid w:val="00431818"/>
    <w:rsid w:val="00431C31"/>
    <w:rsid w:val="00431CA2"/>
    <w:rsid w:val="004328F1"/>
    <w:rsid w:val="00432F6E"/>
    <w:rsid w:val="00433121"/>
    <w:rsid w:val="0043331B"/>
    <w:rsid w:val="0043351D"/>
    <w:rsid w:val="00434640"/>
    <w:rsid w:val="00434817"/>
    <w:rsid w:val="00435858"/>
    <w:rsid w:val="0043587B"/>
    <w:rsid w:val="00436AA1"/>
    <w:rsid w:val="00436DFB"/>
    <w:rsid w:val="004370D5"/>
    <w:rsid w:val="00437957"/>
    <w:rsid w:val="00437DC8"/>
    <w:rsid w:val="00440721"/>
    <w:rsid w:val="00440F31"/>
    <w:rsid w:val="00440FA7"/>
    <w:rsid w:val="00441036"/>
    <w:rsid w:val="004412FE"/>
    <w:rsid w:val="0044144E"/>
    <w:rsid w:val="00442AB5"/>
    <w:rsid w:val="0044344C"/>
    <w:rsid w:val="00443F7D"/>
    <w:rsid w:val="00443FA1"/>
    <w:rsid w:val="00444C37"/>
    <w:rsid w:val="0044505E"/>
    <w:rsid w:val="00445A46"/>
    <w:rsid w:val="00445F05"/>
    <w:rsid w:val="0044622A"/>
    <w:rsid w:val="004463CE"/>
    <w:rsid w:val="00446468"/>
    <w:rsid w:val="00446B25"/>
    <w:rsid w:val="00447C56"/>
    <w:rsid w:val="004500A8"/>
    <w:rsid w:val="00451451"/>
    <w:rsid w:val="0045161C"/>
    <w:rsid w:val="00451B31"/>
    <w:rsid w:val="00451B63"/>
    <w:rsid w:val="004530F1"/>
    <w:rsid w:val="00453631"/>
    <w:rsid w:val="004536A8"/>
    <w:rsid w:val="00453C91"/>
    <w:rsid w:val="004545D9"/>
    <w:rsid w:val="00454CD4"/>
    <w:rsid w:val="00455615"/>
    <w:rsid w:val="00455C75"/>
    <w:rsid w:val="0046020E"/>
    <w:rsid w:val="004602F7"/>
    <w:rsid w:val="0046076E"/>
    <w:rsid w:val="00460A9E"/>
    <w:rsid w:val="00461115"/>
    <w:rsid w:val="00461460"/>
    <w:rsid w:val="00461AAC"/>
    <w:rsid w:val="00461DA6"/>
    <w:rsid w:val="004622EF"/>
    <w:rsid w:val="00462335"/>
    <w:rsid w:val="00462732"/>
    <w:rsid w:val="00462F08"/>
    <w:rsid w:val="00463084"/>
    <w:rsid w:val="00466227"/>
    <w:rsid w:val="00466288"/>
    <w:rsid w:val="00467B94"/>
    <w:rsid w:val="00467F77"/>
    <w:rsid w:val="00470C9F"/>
    <w:rsid w:val="0047199E"/>
    <w:rsid w:val="004723D5"/>
    <w:rsid w:val="00472BB2"/>
    <w:rsid w:val="00472D49"/>
    <w:rsid w:val="004735F1"/>
    <w:rsid w:val="00473991"/>
    <w:rsid w:val="00473EFB"/>
    <w:rsid w:val="00475349"/>
    <w:rsid w:val="0047544F"/>
    <w:rsid w:val="0047561C"/>
    <w:rsid w:val="004756DD"/>
    <w:rsid w:val="004759D4"/>
    <w:rsid w:val="0047656F"/>
    <w:rsid w:val="0047658F"/>
    <w:rsid w:val="00476AAD"/>
    <w:rsid w:val="00477E03"/>
    <w:rsid w:val="00480634"/>
    <w:rsid w:val="00480793"/>
    <w:rsid w:val="0048113C"/>
    <w:rsid w:val="00481665"/>
    <w:rsid w:val="00484433"/>
    <w:rsid w:val="004854C2"/>
    <w:rsid w:val="004879FC"/>
    <w:rsid w:val="00491235"/>
    <w:rsid w:val="00491331"/>
    <w:rsid w:val="00491771"/>
    <w:rsid w:val="004949B2"/>
    <w:rsid w:val="00495198"/>
    <w:rsid w:val="00495310"/>
    <w:rsid w:val="00496984"/>
    <w:rsid w:val="00496C40"/>
    <w:rsid w:val="00496DA4"/>
    <w:rsid w:val="004975BB"/>
    <w:rsid w:val="0049795A"/>
    <w:rsid w:val="00497B07"/>
    <w:rsid w:val="00497D47"/>
    <w:rsid w:val="004A0ABB"/>
    <w:rsid w:val="004A12CD"/>
    <w:rsid w:val="004A1F2A"/>
    <w:rsid w:val="004A2BF7"/>
    <w:rsid w:val="004A30EA"/>
    <w:rsid w:val="004A46E9"/>
    <w:rsid w:val="004A4898"/>
    <w:rsid w:val="004A4A38"/>
    <w:rsid w:val="004A53CA"/>
    <w:rsid w:val="004A555E"/>
    <w:rsid w:val="004A6052"/>
    <w:rsid w:val="004A6FF4"/>
    <w:rsid w:val="004A7C2C"/>
    <w:rsid w:val="004B0508"/>
    <w:rsid w:val="004B0E80"/>
    <w:rsid w:val="004B1A73"/>
    <w:rsid w:val="004B30AD"/>
    <w:rsid w:val="004B316E"/>
    <w:rsid w:val="004B3482"/>
    <w:rsid w:val="004B3CA9"/>
    <w:rsid w:val="004B3D35"/>
    <w:rsid w:val="004B3F0F"/>
    <w:rsid w:val="004B40D8"/>
    <w:rsid w:val="004B4A33"/>
    <w:rsid w:val="004B4C38"/>
    <w:rsid w:val="004B5399"/>
    <w:rsid w:val="004B5CD8"/>
    <w:rsid w:val="004B68F0"/>
    <w:rsid w:val="004B738A"/>
    <w:rsid w:val="004B742A"/>
    <w:rsid w:val="004B75BD"/>
    <w:rsid w:val="004B7DE7"/>
    <w:rsid w:val="004C103A"/>
    <w:rsid w:val="004C1B87"/>
    <w:rsid w:val="004C1FD4"/>
    <w:rsid w:val="004C2BA7"/>
    <w:rsid w:val="004C2FED"/>
    <w:rsid w:val="004C38AF"/>
    <w:rsid w:val="004C397E"/>
    <w:rsid w:val="004C3BFC"/>
    <w:rsid w:val="004C4340"/>
    <w:rsid w:val="004C4D38"/>
    <w:rsid w:val="004C50D1"/>
    <w:rsid w:val="004C5EA8"/>
    <w:rsid w:val="004C6A17"/>
    <w:rsid w:val="004C725E"/>
    <w:rsid w:val="004C73B4"/>
    <w:rsid w:val="004D0317"/>
    <w:rsid w:val="004D03DD"/>
    <w:rsid w:val="004D1118"/>
    <w:rsid w:val="004D11F2"/>
    <w:rsid w:val="004D1258"/>
    <w:rsid w:val="004D21A4"/>
    <w:rsid w:val="004D303F"/>
    <w:rsid w:val="004D32E9"/>
    <w:rsid w:val="004D4150"/>
    <w:rsid w:val="004D518E"/>
    <w:rsid w:val="004D5803"/>
    <w:rsid w:val="004D6797"/>
    <w:rsid w:val="004D6E8A"/>
    <w:rsid w:val="004D6F30"/>
    <w:rsid w:val="004D7AF2"/>
    <w:rsid w:val="004E0E21"/>
    <w:rsid w:val="004E2099"/>
    <w:rsid w:val="004E3E12"/>
    <w:rsid w:val="004E3FE2"/>
    <w:rsid w:val="004E42BD"/>
    <w:rsid w:val="004E4C6D"/>
    <w:rsid w:val="004E52D6"/>
    <w:rsid w:val="004E69B1"/>
    <w:rsid w:val="004E6C79"/>
    <w:rsid w:val="004E75FF"/>
    <w:rsid w:val="004E7819"/>
    <w:rsid w:val="004E7C4A"/>
    <w:rsid w:val="004F0B33"/>
    <w:rsid w:val="004F19B4"/>
    <w:rsid w:val="004F1BC0"/>
    <w:rsid w:val="004F222D"/>
    <w:rsid w:val="004F31F8"/>
    <w:rsid w:val="004F3360"/>
    <w:rsid w:val="004F3451"/>
    <w:rsid w:val="004F380C"/>
    <w:rsid w:val="004F3C38"/>
    <w:rsid w:val="004F3D00"/>
    <w:rsid w:val="004F4AE0"/>
    <w:rsid w:val="004F4C78"/>
    <w:rsid w:val="004F4DCF"/>
    <w:rsid w:val="004F502B"/>
    <w:rsid w:val="004F5534"/>
    <w:rsid w:val="004F5628"/>
    <w:rsid w:val="004F5989"/>
    <w:rsid w:val="004F658B"/>
    <w:rsid w:val="004F69D4"/>
    <w:rsid w:val="004F745E"/>
    <w:rsid w:val="004F7B9E"/>
    <w:rsid w:val="005000D1"/>
    <w:rsid w:val="00500C80"/>
    <w:rsid w:val="0050134D"/>
    <w:rsid w:val="00501499"/>
    <w:rsid w:val="005018F6"/>
    <w:rsid w:val="00501EF8"/>
    <w:rsid w:val="00502066"/>
    <w:rsid w:val="00502073"/>
    <w:rsid w:val="00502F2D"/>
    <w:rsid w:val="00503EAE"/>
    <w:rsid w:val="005064FC"/>
    <w:rsid w:val="00510297"/>
    <w:rsid w:val="0051050A"/>
    <w:rsid w:val="00510BE1"/>
    <w:rsid w:val="00510FD3"/>
    <w:rsid w:val="0051169A"/>
    <w:rsid w:val="00511740"/>
    <w:rsid w:val="00511A3F"/>
    <w:rsid w:val="00511C06"/>
    <w:rsid w:val="00512C3F"/>
    <w:rsid w:val="005131B9"/>
    <w:rsid w:val="0051394F"/>
    <w:rsid w:val="00513F36"/>
    <w:rsid w:val="00514A3E"/>
    <w:rsid w:val="00514C4E"/>
    <w:rsid w:val="00514EF9"/>
    <w:rsid w:val="005150EA"/>
    <w:rsid w:val="005152A6"/>
    <w:rsid w:val="00515B0A"/>
    <w:rsid w:val="00515F92"/>
    <w:rsid w:val="00516CC8"/>
    <w:rsid w:val="00521200"/>
    <w:rsid w:val="005228E5"/>
    <w:rsid w:val="005242D3"/>
    <w:rsid w:val="00524323"/>
    <w:rsid w:val="00525157"/>
    <w:rsid w:val="00525406"/>
    <w:rsid w:val="00525E6A"/>
    <w:rsid w:val="00526496"/>
    <w:rsid w:val="00526CBB"/>
    <w:rsid w:val="00526F2C"/>
    <w:rsid w:val="0052735B"/>
    <w:rsid w:val="0053070E"/>
    <w:rsid w:val="005307B4"/>
    <w:rsid w:val="005315C6"/>
    <w:rsid w:val="005317E5"/>
    <w:rsid w:val="0053211A"/>
    <w:rsid w:val="00532414"/>
    <w:rsid w:val="005325EA"/>
    <w:rsid w:val="005328FE"/>
    <w:rsid w:val="005336D3"/>
    <w:rsid w:val="00534A82"/>
    <w:rsid w:val="00535242"/>
    <w:rsid w:val="00535462"/>
    <w:rsid w:val="00535C1F"/>
    <w:rsid w:val="005361A1"/>
    <w:rsid w:val="0053784A"/>
    <w:rsid w:val="00537C3A"/>
    <w:rsid w:val="00537DC3"/>
    <w:rsid w:val="00537FA9"/>
    <w:rsid w:val="00541130"/>
    <w:rsid w:val="005416A7"/>
    <w:rsid w:val="005418B4"/>
    <w:rsid w:val="005418D5"/>
    <w:rsid w:val="00542147"/>
    <w:rsid w:val="0054280C"/>
    <w:rsid w:val="00542EA2"/>
    <w:rsid w:val="00543893"/>
    <w:rsid w:val="00543FF7"/>
    <w:rsid w:val="00544302"/>
    <w:rsid w:val="00544470"/>
    <w:rsid w:val="00544FF6"/>
    <w:rsid w:val="00545D9B"/>
    <w:rsid w:val="0054680C"/>
    <w:rsid w:val="00546EA4"/>
    <w:rsid w:val="005470C9"/>
    <w:rsid w:val="0054772F"/>
    <w:rsid w:val="00547F0A"/>
    <w:rsid w:val="00550018"/>
    <w:rsid w:val="005502BA"/>
    <w:rsid w:val="0055074D"/>
    <w:rsid w:val="005509E4"/>
    <w:rsid w:val="00550DED"/>
    <w:rsid w:val="00550F53"/>
    <w:rsid w:val="00551234"/>
    <w:rsid w:val="005523DD"/>
    <w:rsid w:val="00552451"/>
    <w:rsid w:val="00552F7E"/>
    <w:rsid w:val="005533D2"/>
    <w:rsid w:val="005537A9"/>
    <w:rsid w:val="00553C1B"/>
    <w:rsid w:val="00555233"/>
    <w:rsid w:val="005552F4"/>
    <w:rsid w:val="00555A91"/>
    <w:rsid w:val="0055648C"/>
    <w:rsid w:val="00556658"/>
    <w:rsid w:val="005606AD"/>
    <w:rsid w:val="00560909"/>
    <w:rsid w:val="00561766"/>
    <w:rsid w:val="005627A9"/>
    <w:rsid w:val="00562A12"/>
    <w:rsid w:val="00562B6A"/>
    <w:rsid w:val="0056311B"/>
    <w:rsid w:val="00563A6B"/>
    <w:rsid w:val="005641CA"/>
    <w:rsid w:val="00564B19"/>
    <w:rsid w:val="00564C3A"/>
    <w:rsid w:val="00564EE7"/>
    <w:rsid w:val="00565F90"/>
    <w:rsid w:val="005666DA"/>
    <w:rsid w:val="00567926"/>
    <w:rsid w:val="005721F5"/>
    <w:rsid w:val="00572F51"/>
    <w:rsid w:val="00572F7B"/>
    <w:rsid w:val="005730A2"/>
    <w:rsid w:val="00573545"/>
    <w:rsid w:val="005750D6"/>
    <w:rsid w:val="00575CAE"/>
    <w:rsid w:val="00576684"/>
    <w:rsid w:val="005771B3"/>
    <w:rsid w:val="0057724D"/>
    <w:rsid w:val="00577CCA"/>
    <w:rsid w:val="00577DB3"/>
    <w:rsid w:val="00580901"/>
    <w:rsid w:val="00580AA6"/>
    <w:rsid w:val="0058147F"/>
    <w:rsid w:val="00581D17"/>
    <w:rsid w:val="00581E3D"/>
    <w:rsid w:val="0058255A"/>
    <w:rsid w:val="00583E64"/>
    <w:rsid w:val="00583E97"/>
    <w:rsid w:val="0058416E"/>
    <w:rsid w:val="00584652"/>
    <w:rsid w:val="005859BC"/>
    <w:rsid w:val="00586060"/>
    <w:rsid w:val="005860E7"/>
    <w:rsid w:val="005872CC"/>
    <w:rsid w:val="00587953"/>
    <w:rsid w:val="00587B38"/>
    <w:rsid w:val="00587FAB"/>
    <w:rsid w:val="005909A0"/>
    <w:rsid w:val="00591615"/>
    <w:rsid w:val="0059275D"/>
    <w:rsid w:val="00592B5E"/>
    <w:rsid w:val="005939A2"/>
    <w:rsid w:val="005943E7"/>
    <w:rsid w:val="00594C8B"/>
    <w:rsid w:val="00594EC0"/>
    <w:rsid w:val="005950FB"/>
    <w:rsid w:val="005953F6"/>
    <w:rsid w:val="00595587"/>
    <w:rsid w:val="00596DBD"/>
    <w:rsid w:val="005A026D"/>
    <w:rsid w:val="005A2264"/>
    <w:rsid w:val="005A23E6"/>
    <w:rsid w:val="005A3407"/>
    <w:rsid w:val="005A3713"/>
    <w:rsid w:val="005A3739"/>
    <w:rsid w:val="005A396D"/>
    <w:rsid w:val="005A4071"/>
    <w:rsid w:val="005A61C8"/>
    <w:rsid w:val="005A66E6"/>
    <w:rsid w:val="005A681A"/>
    <w:rsid w:val="005A6C05"/>
    <w:rsid w:val="005A7016"/>
    <w:rsid w:val="005A7032"/>
    <w:rsid w:val="005A7C3F"/>
    <w:rsid w:val="005A7C57"/>
    <w:rsid w:val="005B129C"/>
    <w:rsid w:val="005B1686"/>
    <w:rsid w:val="005B194D"/>
    <w:rsid w:val="005B1EE3"/>
    <w:rsid w:val="005B1EE4"/>
    <w:rsid w:val="005B27E0"/>
    <w:rsid w:val="005B2E5A"/>
    <w:rsid w:val="005B2E85"/>
    <w:rsid w:val="005B350A"/>
    <w:rsid w:val="005B3613"/>
    <w:rsid w:val="005B470A"/>
    <w:rsid w:val="005B47D2"/>
    <w:rsid w:val="005B4F43"/>
    <w:rsid w:val="005B541B"/>
    <w:rsid w:val="005B67F3"/>
    <w:rsid w:val="005B7149"/>
    <w:rsid w:val="005B7D6F"/>
    <w:rsid w:val="005B7F0D"/>
    <w:rsid w:val="005B7F25"/>
    <w:rsid w:val="005C0011"/>
    <w:rsid w:val="005C005E"/>
    <w:rsid w:val="005C0A15"/>
    <w:rsid w:val="005C0CB3"/>
    <w:rsid w:val="005C2346"/>
    <w:rsid w:val="005C24A6"/>
    <w:rsid w:val="005C262A"/>
    <w:rsid w:val="005C2F3F"/>
    <w:rsid w:val="005C3064"/>
    <w:rsid w:val="005C3B90"/>
    <w:rsid w:val="005C3BC8"/>
    <w:rsid w:val="005C4C1F"/>
    <w:rsid w:val="005C4C25"/>
    <w:rsid w:val="005C5F6C"/>
    <w:rsid w:val="005C6648"/>
    <w:rsid w:val="005C6E5C"/>
    <w:rsid w:val="005C6F18"/>
    <w:rsid w:val="005C7A1D"/>
    <w:rsid w:val="005D024C"/>
    <w:rsid w:val="005D09C6"/>
    <w:rsid w:val="005D0FDB"/>
    <w:rsid w:val="005D1506"/>
    <w:rsid w:val="005D1CE1"/>
    <w:rsid w:val="005D222A"/>
    <w:rsid w:val="005D2D7A"/>
    <w:rsid w:val="005D33E7"/>
    <w:rsid w:val="005D3C5E"/>
    <w:rsid w:val="005D40CB"/>
    <w:rsid w:val="005D4161"/>
    <w:rsid w:val="005D565B"/>
    <w:rsid w:val="005D5D13"/>
    <w:rsid w:val="005D6151"/>
    <w:rsid w:val="005D7042"/>
    <w:rsid w:val="005D75FA"/>
    <w:rsid w:val="005D7AC9"/>
    <w:rsid w:val="005E04B5"/>
    <w:rsid w:val="005E10FB"/>
    <w:rsid w:val="005E11F3"/>
    <w:rsid w:val="005E1209"/>
    <w:rsid w:val="005E29A9"/>
    <w:rsid w:val="005E3666"/>
    <w:rsid w:val="005E3C06"/>
    <w:rsid w:val="005E4B40"/>
    <w:rsid w:val="005E4C3B"/>
    <w:rsid w:val="005E52E5"/>
    <w:rsid w:val="005E52E9"/>
    <w:rsid w:val="005E61BD"/>
    <w:rsid w:val="005E6559"/>
    <w:rsid w:val="005E6F56"/>
    <w:rsid w:val="005E7104"/>
    <w:rsid w:val="005E775A"/>
    <w:rsid w:val="005F16EE"/>
    <w:rsid w:val="005F26A6"/>
    <w:rsid w:val="005F2955"/>
    <w:rsid w:val="005F35D8"/>
    <w:rsid w:val="005F3971"/>
    <w:rsid w:val="005F41E2"/>
    <w:rsid w:val="005F4357"/>
    <w:rsid w:val="005F47F7"/>
    <w:rsid w:val="005F7804"/>
    <w:rsid w:val="005F785B"/>
    <w:rsid w:val="005F79AD"/>
    <w:rsid w:val="00601591"/>
    <w:rsid w:val="00601638"/>
    <w:rsid w:val="006018D9"/>
    <w:rsid w:val="006018F3"/>
    <w:rsid w:val="00601E7A"/>
    <w:rsid w:val="00602B1F"/>
    <w:rsid w:val="006032C6"/>
    <w:rsid w:val="00605580"/>
    <w:rsid w:val="00605964"/>
    <w:rsid w:val="00605B14"/>
    <w:rsid w:val="00605CCD"/>
    <w:rsid w:val="00605F33"/>
    <w:rsid w:val="006061EB"/>
    <w:rsid w:val="00606413"/>
    <w:rsid w:val="00606DBB"/>
    <w:rsid w:val="00607E50"/>
    <w:rsid w:val="006112D3"/>
    <w:rsid w:val="0061218D"/>
    <w:rsid w:val="0061247D"/>
    <w:rsid w:val="006129EA"/>
    <w:rsid w:val="00613392"/>
    <w:rsid w:val="0061352A"/>
    <w:rsid w:val="00613551"/>
    <w:rsid w:val="006139F0"/>
    <w:rsid w:val="00614054"/>
    <w:rsid w:val="00614A75"/>
    <w:rsid w:val="00615D68"/>
    <w:rsid w:val="006166BC"/>
    <w:rsid w:val="00620290"/>
    <w:rsid w:val="00620A19"/>
    <w:rsid w:val="00621F2F"/>
    <w:rsid w:val="006232A3"/>
    <w:rsid w:val="00624F63"/>
    <w:rsid w:val="00625088"/>
    <w:rsid w:val="00625117"/>
    <w:rsid w:val="006254BE"/>
    <w:rsid w:val="00625782"/>
    <w:rsid w:val="0062589A"/>
    <w:rsid w:val="00625988"/>
    <w:rsid w:val="00625994"/>
    <w:rsid w:val="00625AE6"/>
    <w:rsid w:val="006268D0"/>
    <w:rsid w:val="00627813"/>
    <w:rsid w:val="00627E84"/>
    <w:rsid w:val="00630480"/>
    <w:rsid w:val="00630D0F"/>
    <w:rsid w:val="006317A7"/>
    <w:rsid w:val="00632AF8"/>
    <w:rsid w:val="00633022"/>
    <w:rsid w:val="006337A7"/>
    <w:rsid w:val="006350CB"/>
    <w:rsid w:val="00635C87"/>
    <w:rsid w:val="00636791"/>
    <w:rsid w:val="006374FE"/>
    <w:rsid w:val="0063769D"/>
    <w:rsid w:val="006378B5"/>
    <w:rsid w:val="00637ECD"/>
    <w:rsid w:val="00640E1C"/>
    <w:rsid w:val="00641089"/>
    <w:rsid w:val="00641D30"/>
    <w:rsid w:val="00642593"/>
    <w:rsid w:val="00642F0C"/>
    <w:rsid w:val="00643D20"/>
    <w:rsid w:val="00643F4B"/>
    <w:rsid w:val="00643FD9"/>
    <w:rsid w:val="006442B6"/>
    <w:rsid w:val="006448B1"/>
    <w:rsid w:val="00644E4D"/>
    <w:rsid w:val="006454BB"/>
    <w:rsid w:val="00645A0B"/>
    <w:rsid w:val="0064735F"/>
    <w:rsid w:val="00647DC0"/>
    <w:rsid w:val="006500BB"/>
    <w:rsid w:val="00651AAE"/>
    <w:rsid w:val="00651C42"/>
    <w:rsid w:val="00651FAA"/>
    <w:rsid w:val="00652073"/>
    <w:rsid w:val="00652AD3"/>
    <w:rsid w:val="00654055"/>
    <w:rsid w:val="0065549F"/>
    <w:rsid w:val="0065552A"/>
    <w:rsid w:val="00655E9C"/>
    <w:rsid w:val="006573A8"/>
    <w:rsid w:val="00657939"/>
    <w:rsid w:val="00657A8B"/>
    <w:rsid w:val="00657ED1"/>
    <w:rsid w:val="00660FCD"/>
    <w:rsid w:val="00662B84"/>
    <w:rsid w:val="00663261"/>
    <w:rsid w:val="00663AF3"/>
    <w:rsid w:val="00664B71"/>
    <w:rsid w:val="00664C7C"/>
    <w:rsid w:val="006650AB"/>
    <w:rsid w:val="0066596A"/>
    <w:rsid w:val="006659D0"/>
    <w:rsid w:val="00665BEA"/>
    <w:rsid w:val="00665F7E"/>
    <w:rsid w:val="00666094"/>
    <w:rsid w:val="00667126"/>
    <w:rsid w:val="00667ECA"/>
    <w:rsid w:val="0067030F"/>
    <w:rsid w:val="006703A1"/>
    <w:rsid w:val="00670434"/>
    <w:rsid w:val="00670965"/>
    <w:rsid w:val="00670BCD"/>
    <w:rsid w:val="0067123C"/>
    <w:rsid w:val="00671E12"/>
    <w:rsid w:val="00672255"/>
    <w:rsid w:val="00673197"/>
    <w:rsid w:val="006735AE"/>
    <w:rsid w:val="00674110"/>
    <w:rsid w:val="0067421C"/>
    <w:rsid w:val="00674484"/>
    <w:rsid w:val="00674919"/>
    <w:rsid w:val="006751A7"/>
    <w:rsid w:val="006756E1"/>
    <w:rsid w:val="006759AB"/>
    <w:rsid w:val="00676440"/>
    <w:rsid w:val="00676AE0"/>
    <w:rsid w:val="00677003"/>
    <w:rsid w:val="00682089"/>
    <w:rsid w:val="006820EC"/>
    <w:rsid w:val="0068278F"/>
    <w:rsid w:val="006832E0"/>
    <w:rsid w:val="00685796"/>
    <w:rsid w:val="0068713F"/>
    <w:rsid w:val="00690BB2"/>
    <w:rsid w:val="0069143F"/>
    <w:rsid w:val="006916C4"/>
    <w:rsid w:val="00691761"/>
    <w:rsid w:val="006925D0"/>
    <w:rsid w:val="00692F17"/>
    <w:rsid w:val="00693315"/>
    <w:rsid w:val="00693C1F"/>
    <w:rsid w:val="0069416B"/>
    <w:rsid w:val="00695731"/>
    <w:rsid w:val="00695939"/>
    <w:rsid w:val="00696335"/>
    <w:rsid w:val="0069645C"/>
    <w:rsid w:val="0069693B"/>
    <w:rsid w:val="00696F88"/>
    <w:rsid w:val="00697043"/>
    <w:rsid w:val="006A02AD"/>
    <w:rsid w:val="006A063C"/>
    <w:rsid w:val="006A200C"/>
    <w:rsid w:val="006A27C8"/>
    <w:rsid w:val="006A2FA3"/>
    <w:rsid w:val="006A3C83"/>
    <w:rsid w:val="006A41A8"/>
    <w:rsid w:val="006A433E"/>
    <w:rsid w:val="006A474C"/>
    <w:rsid w:val="006A4753"/>
    <w:rsid w:val="006A5886"/>
    <w:rsid w:val="006A6199"/>
    <w:rsid w:val="006A6611"/>
    <w:rsid w:val="006A767A"/>
    <w:rsid w:val="006B0047"/>
    <w:rsid w:val="006B012D"/>
    <w:rsid w:val="006B0683"/>
    <w:rsid w:val="006B0D53"/>
    <w:rsid w:val="006B0FD5"/>
    <w:rsid w:val="006B1019"/>
    <w:rsid w:val="006B1143"/>
    <w:rsid w:val="006B11DF"/>
    <w:rsid w:val="006B1A71"/>
    <w:rsid w:val="006B1C6C"/>
    <w:rsid w:val="006B2A94"/>
    <w:rsid w:val="006B37C4"/>
    <w:rsid w:val="006B3C2B"/>
    <w:rsid w:val="006B4D26"/>
    <w:rsid w:val="006B566D"/>
    <w:rsid w:val="006B5DE2"/>
    <w:rsid w:val="006B6C6A"/>
    <w:rsid w:val="006B6EB8"/>
    <w:rsid w:val="006B740E"/>
    <w:rsid w:val="006C19A1"/>
    <w:rsid w:val="006C2306"/>
    <w:rsid w:val="006C2358"/>
    <w:rsid w:val="006C36B7"/>
    <w:rsid w:val="006C3DE6"/>
    <w:rsid w:val="006C49B3"/>
    <w:rsid w:val="006C5971"/>
    <w:rsid w:val="006C5E7E"/>
    <w:rsid w:val="006C6529"/>
    <w:rsid w:val="006C6B52"/>
    <w:rsid w:val="006C7DAD"/>
    <w:rsid w:val="006D03FE"/>
    <w:rsid w:val="006D073A"/>
    <w:rsid w:val="006D0EB6"/>
    <w:rsid w:val="006D1B1B"/>
    <w:rsid w:val="006D251D"/>
    <w:rsid w:val="006D2FC7"/>
    <w:rsid w:val="006D31C6"/>
    <w:rsid w:val="006D3285"/>
    <w:rsid w:val="006D465B"/>
    <w:rsid w:val="006D6392"/>
    <w:rsid w:val="006D7430"/>
    <w:rsid w:val="006D7FE7"/>
    <w:rsid w:val="006E11B3"/>
    <w:rsid w:val="006E17B9"/>
    <w:rsid w:val="006E1B89"/>
    <w:rsid w:val="006E231C"/>
    <w:rsid w:val="006E2C19"/>
    <w:rsid w:val="006E38F2"/>
    <w:rsid w:val="006E3FFC"/>
    <w:rsid w:val="006E4287"/>
    <w:rsid w:val="006E4950"/>
    <w:rsid w:val="006E4BD6"/>
    <w:rsid w:val="006E5044"/>
    <w:rsid w:val="006E52DE"/>
    <w:rsid w:val="006E6F73"/>
    <w:rsid w:val="006E7834"/>
    <w:rsid w:val="006E7B5B"/>
    <w:rsid w:val="006E7BD1"/>
    <w:rsid w:val="006F1A0F"/>
    <w:rsid w:val="006F2844"/>
    <w:rsid w:val="006F29CF"/>
    <w:rsid w:val="006F3D5E"/>
    <w:rsid w:val="006F4223"/>
    <w:rsid w:val="006F78B6"/>
    <w:rsid w:val="00700567"/>
    <w:rsid w:val="00700B68"/>
    <w:rsid w:val="00700D5B"/>
    <w:rsid w:val="00701225"/>
    <w:rsid w:val="007012FF"/>
    <w:rsid w:val="0070133D"/>
    <w:rsid w:val="007027EC"/>
    <w:rsid w:val="00702A0A"/>
    <w:rsid w:val="00702B47"/>
    <w:rsid w:val="00702C33"/>
    <w:rsid w:val="00702C3E"/>
    <w:rsid w:val="00703303"/>
    <w:rsid w:val="007052B1"/>
    <w:rsid w:val="00705895"/>
    <w:rsid w:val="00706095"/>
    <w:rsid w:val="00706AFB"/>
    <w:rsid w:val="00706C7E"/>
    <w:rsid w:val="0070703C"/>
    <w:rsid w:val="00707427"/>
    <w:rsid w:val="00707D80"/>
    <w:rsid w:val="00707F06"/>
    <w:rsid w:val="00710CA9"/>
    <w:rsid w:val="0071144E"/>
    <w:rsid w:val="00711D38"/>
    <w:rsid w:val="0071220E"/>
    <w:rsid w:val="00712F8B"/>
    <w:rsid w:val="00713112"/>
    <w:rsid w:val="007132C5"/>
    <w:rsid w:val="00713370"/>
    <w:rsid w:val="00713CEB"/>
    <w:rsid w:val="0071408F"/>
    <w:rsid w:val="00714270"/>
    <w:rsid w:val="007143EC"/>
    <w:rsid w:val="00714CE6"/>
    <w:rsid w:val="0071504D"/>
    <w:rsid w:val="007159FD"/>
    <w:rsid w:val="00716776"/>
    <w:rsid w:val="00716AB5"/>
    <w:rsid w:val="00716CBE"/>
    <w:rsid w:val="00717642"/>
    <w:rsid w:val="007205BB"/>
    <w:rsid w:val="00721132"/>
    <w:rsid w:val="00722056"/>
    <w:rsid w:val="00722112"/>
    <w:rsid w:val="00722603"/>
    <w:rsid w:val="0072297D"/>
    <w:rsid w:val="0072341C"/>
    <w:rsid w:val="0072363E"/>
    <w:rsid w:val="00723DAC"/>
    <w:rsid w:val="00723FE7"/>
    <w:rsid w:val="00724C95"/>
    <w:rsid w:val="007269E7"/>
    <w:rsid w:val="00726E49"/>
    <w:rsid w:val="00727761"/>
    <w:rsid w:val="00727FF7"/>
    <w:rsid w:val="00730CF4"/>
    <w:rsid w:val="00731D50"/>
    <w:rsid w:val="00731D8C"/>
    <w:rsid w:val="00732A7F"/>
    <w:rsid w:val="007335D8"/>
    <w:rsid w:val="007338B6"/>
    <w:rsid w:val="00734704"/>
    <w:rsid w:val="00735933"/>
    <w:rsid w:val="00735BED"/>
    <w:rsid w:val="00735F75"/>
    <w:rsid w:val="0073636B"/>
    <w:rsid w:val="0073678E"/>
    <w:rsid w:val="0074034C"/>
    <w:rsid w:val="00740C90"/>
    <w:rsid w:val="00740E86"/>
    <w:rsid w:val="0074129E"/>
    <w:rsid w:val="00742028"/>
    <w:rsid w:val="00743C41"/>
    <w:rsid w:val="00743CBD"/>
    <w:rsid w:val="00744425"/>
    <w:rsid w:val="00744C5E"/>
    <w:rsid w:val="00745034"/>
    <w:rsid w:val="007454C0"/>
    <w:rsid w:val="00745848"/>
    <w:rsid w:val="007460FD"/>
    <w:rsid w:val="00746E19"/>
    <w:rsid w:val="00747DC1"/>
    <w:rsid w:val="00747FF5"/>
    <w:rsid w:val="00750499"/>
    <w:rsid w:val="00750868"/>
    <w:rsid w:val="00750BA7"/>
    <w:rsid w:val="00750BC7"/>
    <w:rsid w:val="0075126B"/>
    <w:rsid w:val="00751AED"/>
    <w:rsid w:val="00751D2A"/>
    <w:rsid w:val="00751E4A"/>
    <w:rsid w:val="0075204D"/>
    <w:rsid w:val="00752265"/>
    <w:rsid w:val="0075320C"/>
    <w:rsid w:val="00753466"/>
    <w:rsid w:val="0075360F"/>
    <w:rsid w:val="00753DCE"/>
    <w:rsid w:val="00753F28"/>
    <w:rsid w:val="00754199"/>
    <w:rsid w:val="007545D3"/>
    <w:rsid w:val="007558DB"/>
    <w:rsid w:val="00755A45"/>
    <w:rsid w:val="00755AE4"/>
    <w:rsid w:val="00756916"/>
    <w:rsid w:val="00757F2E"/>
    <w:rsid w:val="00761A40"/>
    <w:rsid w:val="00761B42"/>
    <w:rsid w:val="00761B69"/>
    <w:rsid w:val="00761FBC"/>
    <w:rsid w:val="00761FC7"/>
    <w:rsid w:val="00765494"/>
    <w:rsid w:val="007655B3"/>
    <w:rsid w:val="00765803"/>
    <w:rsid w:val="00765A3C"/>
    <w:rsid w:val="00765B5E"/>
    <w:rsid w:val="00765BFB"/>
    <w:rsid w:val="007677F1"/>
    <w:rsid w:val="0077030E"/>
    <w:rsid w:val="00770374"/>
    <w:rsid w:val="0077042B"/>
    <w:rsid w:val="00770726"/>
    <w:rsid w:val="007708F4"/>
    <w:rsid w:val="00770CA8"/>
    <w:rsid w:val="007712AC"/>
    <w:rsid w:val="0077136A"/>
    <w:rsid w:val="0077153F"/>
    <w:rsid w:val="00771B3F"/>
    <w:rsid w:val="00771F57"/>
    <w:rsid w:val="00773FD5"/>
    <w:rsid w:val="00774C81"/>
    <w:rsid w:val="00775F13"/>
    <w:rsid w:val="0077600D"/>
    <w:rsid w:val="00776EE9"/>
    <w:rsid w:val="00777655"/>
    <w:rsid w:val="00780699"/>
    <w:rsid w:val="00780D60"/>
    <w:rsid w:val="007818F5"/>
    <w:rsid w:val="00781A60"/>
    <w:rsid w:val="007831BA"/>
    <w:rsid w:val="0078424F"/>
    <w:rsid w:val="00784BF9"/>
    <w:rsid w:val="0078561D"/>
    <w:rsid w:val="007857B1"/>
    <w:rsid w:val="00786104"/>
    <w:rsid w:val="00787129"/>
    <w:rsid w:val="00787B77"/>
    <w:rsid w:val="00787C4C"/>
    <w:rsid w:val="00791058"/>
    <w:rsid w:val="007915DD"/>
    <w:rsid w:val="00791737"/>
    <w:rsid w:val="00791BFE"/>
    <w:rsid w:val="00792226"/>
    <w:rsid w:val="00793366"/>
    <w:rsid w:val="00793F30"/>
    <w:rsid w:val="0079415D"/>
    <w:rsid w:val="00794EC6"/>
    <w:rsid w:val="00794F41"/>
    <w:rsid w:val="00795194"/>
    <w:rsid w:val="00796178"/>
    <w:rsid w:val="00797192"/>
    <w:rsid w:val="007971A5"/>
    <w:rsid w:val="007A04B9"/>
    <w:rsid w:val="007A11B5"/>
    <w:rsid w:val="007A14F7"/>
    <w:rsid w:val="007A1634"/>
    <w:rsid w:val="007A2376"/>
    <w:rsid w:val="007A327D"/>
    <w:rsid w:val="007A34D1"/>
    <w:rsid w:val="007A3A07"/>
    <w:rsid w:val="007A426C"/>
    <w:rsid w:val="007A4355"/>
    <w:rsid w:val="007A4541"/>
    <w:rsid w:val="007A52D3"/>
    <w:rsid w:val="007A574B"/>
    <w:rsid w:val="007A6762"/>
    <w:rsid w:val="007A6CB6"/>
    <w:rsid w:val="007A732E"/>
    <w:rsid w:val="007A7696"/>
    <w:rsid w:val="007A7D21"/>
    <w:rsid w:val="007A7F8A"/>
    <w:rsid w:val="007B096D"/>
    <w:rsid w:val="007B0F30"/>
    <w:rsid w:val="007B11C0"/>
    <w:rsid w:val="007B15E7"/>
    <w:rsid w:val="007B27EA"/>
    <w:rsid w:val="007B2A56"/>
    <w:rsid w:val="007B3040"/>
    <w:rsid w:val="007B4A9D"/>
    <w:rsid w:val="007B5446"/>
    <w:rsid w:val="007B5A48"/>
    <w:rsid w:val="007B6235"/>
    <w:rsid w:val="007B6439"/>
    <w:rsid w:val="007B6BDB"/>
    <w:rsid w:val="007B722E"/>
    <w:rsid w:val="007C06D6"/>
    <w:rsid w:val="007C0EE2"/>
    <w:rsid w:val="007C0FAD"/>
    <w:rsid w:val="007C1008"/>
    <w:rsid w:val="007C1A6B"/>
    <w:rsid w:val="007C1EC0"/>
    <w:rsid w:val="007C2670"/>
    <w:rsid w:val="007C29EF"/>
    <w:rsid w:val="007C372C"/>
    <w:rsid w:val="007C4BA5"/>
    <w:rsid w:val="007C4E72"/>
    <w:rsid w:val="007C4EED"/>
    <w:rsid w:val="007C709F"/>
    <w:rsid w:val="007C77DF"/>
    <w:rsid w:val="007D031A"/>
    <w:rsid w:val="007D04E5"/>
    <w:rsid w:val="007D0E31"/>
    <w:rsid w:val="007D23A4"/>
    <w:rsid w:val="007D246E"/>
    <w:rsid w:val="007D3143"/>
    <w:rsid w:val="007D37E0"/>
    <w:rsid w:val="007D42F2"/>
    <w:rsid w:val="007D4680"/>
    <w:rsid w:val="007D51F1"/>
    <w:rsid w:val="007D625E"/>
    <w:rsid w:val="007D69C7"/>
    <w:rsid w:val="007D6C86"/>
    <w:rsid w:val="007D6E32"/>
    <w:rsid w:val="007D6ED1"/>
    <w:rsid w:val="007D6FDE"/>
    <w:rsid w:val="007D71D8"/>
    <w:rsid w:val="007E0B25"/>
    <w:rsid w:val="007E0FCD"/>
    <w:rsid w:val="007E117B"/>
    <w:rsid w:val="007E12FD"/>
    <w:rsid w:val="007E1350"/>
    <w:rsid w:val="007E21E9"/>
    <w:rsid w:val="007E3138"/>
    <w:rsid w:val="007E31FF"/>
    <w:rsid w:val="007E46DD"/>
    <w:rsid w:val="007E54BA"/>
    <w:rsid w:val="007E56F4"/>
    <w:rsid w:val="007E61AE"/>
    <w:rsid w:val="007E6FF3"/>
    <w:rsid w:val="007E7956"/>
    <w:rsid w:val="007F0994"/>
    <w:rsid w:val="007F1CC9"/>
    <w:rsid w:val="007F225B"/>
    <w:rsid w:val="007F26DC"/>
    <w:rsid w:val="007F3E3D"/>
    <w:rsid w:val="007F4152"/>
    <w:rsid w:val="007F434A"/>
    <w:rsid w:val="007F4E63"/>
    <w:rsid w:val="007F4EE8"/>
    <w:rsid w:val="007F571F"/>
    <w:rsid w:val="007F578E"/>
    <w:rsid w:val="007F6569"/>
    <w:rsid w:val="007F659C"/>
    <w:rsid w:val="007F6969"/>
    <w:rsid w:val="007F6B69"/>
    <w:rsid w:val="007F783C"/>
    <w:rsid w:val="007F7878"/>
    <w:rsid w:val="00800222"/>
    <w:rsid w:val="0080199F"/>
    <w:rsid w:val="00802C93"/>
    <w:rsid w:val="00806A88"/>
    <w:rsid w:val="00807036"/>
    <w:rsid w:val="00807B33"/>
    <w:rsid w:val="00807CFB"/>
    <w:rsid w:val="008109D2"/>
    <w:rsid w:val="0081141D"/>
    <w:rsid w:val="00811497"/>
    <w:rsid w:val="008119B0"/>
    <w:rsid w:val="008122BF"/>
    <w:rsid w:val="00812B6D"/>
    <w:rsid w:val="00812DBB"/>
    <w:rsid w:val="00812E5B"/>
    <w:rsid w:val="00813058"/>
    <w:rsid w:val="008136E7"/>
    <w:rsid w:val="008168EE"/>
    <w:rsid w:val="00817446"/>
    <w:rsid w:val="0081781A"/>
    <w:rsid w:val="00817F80"/>
    <w:rsid w:val="0082028D"/>
    <w:rsid w:val="00820BC4"/>
    <w:rsid w:val="00821035"/>
    <w:rsid w:val="008215E2"/>
    <w:rsid w:val="00821C71"/>
    <w:rsid w:val="00822DB1"/>
    <w:rsid w:val="008233D4"/>
    <w:rsid w:val="008238FF"/>
    <w:rsid w:val="0082399F"/>
    <w:rsid w:val="008239C2"/>
    <w:rsid w:val="008248EB"/>
    <w:rsid w:val="00824C20"/>
    <w:rsid w:val="00825300"/>
    <w:rsid w:val="00825CB5"/>
    <w:rsid w:val="008305CC"/>
    <w:rsid w:val="0083088C"/>
    <w:rsid w:val="00830CAC"/>
    <w:rsid w:val="008329B0"/>
    <w:rsid w:val="0083382A"/>
    <w:rsid w:val="00833C87"/>
    <w:rsid w:val="0083435C"/>
    <w:rsid w:val="00834D2D"/>
    <w:rsid w:val="00835546"/>
    <w:rsid w:val="008358DA"/>
    <w:rsid w:val="00835A17"/>
    <w:rsid w:val="00835AD6"/>
    <w:rsid w:val="0083615A"/>
    <w:rsid w:val="0083625E"/>
    <w:rsid w:val="0083655A"/>
    <w:rsid w:val="008371C9"/>
    <w:rsid w:val="0083729E"/>
    <w:rsid w:val="008376C9"/>
    <w:rsid w:val="008408DE"/>
    <w:rsid w:val="00841182"/>
    <w:rsid w:val="0084257D"/>
    <w:rsid w:val="0084263F"/>
    <w:rsid w:val="008427A0"/>
    <w:rsid w:val="00842B32"/>
    <w:rsid w:val="00842EE9"/>
    <w:rsid w:val="00843039"/>
    <w:rsid w:val="00844229"/>
    <w:rsid w:val="00844620"/>
    <w:rsid w:val="00844638"/>
    <w:rsid w:val="00844768"/>
    <w:rsid w:val="00844B89"/>
    <w:rsid w:val="0084662E"/>
    <w:rsid w:val="00850262"/>
    <w:rsid w:val="00851B67"/>
    <w:rsid w:val="00852451"/>
    <w:rsid w:val="008528EF"/>
    <w:rsid w:val="00852C35"/>
    <w:rsid w:val="00852E82"/>
    <w:rsid w:val="0085329C"/>
    <w:rsid w:val="0085353C"/>
    <w:rsid w:val="00853C2D"/>
    <w:rsid w:val="00853F7C"/>
    <w:rsid w:val="008542CC"/>
    <w:rsid w:val="00855C8D"/>
    <w:rsid w:val="00855F8F"/>
    <w:rsid w:val="00856CD6"/>
    <w:rsid w:val="00856FFF"/>
    <w:rsid w:val="00860260"/>
    <w:rsid w:val="00860B32"/>
    <w:rsid w:val="00860F0D"/>
    <w:rsid w:val="00860F0F"/>
    <w:rsid w:val="00860F8C"/>
    <w:rsid w:val="00861B48"/>
    <w:rsid w:val="00861B8F"/>
    <w:rsid w:val="00861D78"/>
    <w:rsid w:val="00862029"/>
    <w:rsid w:val="008625A7"/>
    <w:rsid w:val="00862A59"/>
    <w:rsid w:val="0086305E"/>
    <w:rsid w:val="008636F3"/>
    <w:rsid w:val="00863CE0"/>
    <w:rsid w:val="008643D2"/>
    <w:rsid w:val="00864935"/>
    <w:rsid w:val="00864D23"/>
    <w:rsid w:val="00866446"/>
    <w:rsid w:val="00867453"/>
    <w:rsid w:val="0087068B"/>
    <w:rsid w:val="0087094D"/>
    <w:rsid w:val="00870CDE"/>
    <w:rsid w:val="008711EA"/>
    <w:rsid w:val="00871327"/>
    <w:rsid w:val="0087218D"/>
    <w:rsid w:val="008722F1"/>
    <w:rsid w:val="00872382"/>
    <w:rsid w:val="0087240F"/>
    <w:rsid w:val="00872E7E"/>
    <w:rsid w:val="00873CBF"/>
    <w:rsid w:val="00874C3B"/>
    <w:rsid w:val="008760EA"/>
    <w:rsid w:val="00876495"/>
    <w:rsid w:val="00876DB9"/>
    <w:rsid w:val="00877C93"/>
    <w:rsid w:val="00877E85"/>
    <w:rsid w:val="008800BC"/>
    <w:rsid w:val="0088144F"/>
    <w:rsid w:val="00882F74"/>
    <w:rsid w:val="00882FB8"/>
    <w:rsid w:val="00882FE1"/>
    <w:rsid w:val="00883F0B"/>
    <w:rsid w:val="00884997"/>
    <w:rsid w:val="00884E37"/>
    <w:rsid w:val="00884FE6"/>
    <w:rsid w:val="0088572C"/>
    <w:rsid w:val="00886190"/>
    <w:rsid w:val="0088736C"/>
    <w:rsid w:val="00887B0A"/>
    <w:rsid w:val="008903FD"/>
    <w:rsid w:val="0089064D"/>
    <w:rsid w:val="008906D7"/>
    <w:rsid w:val="00890C73"/>
    <w:rsid w:val="00891DE3"/>
    <w:rsid w:val="00892DEC"/>
    <w:rsid w:val="00892E1D"/>
    <w:rsid w:val="00892F0D"/>
    <w:rsid w:val="008936F9"/>
    <w:rsid w:val="008937DB"/>
    <w:rsid w:val="0089461C"/>
    <w:rsid w:val="00894757"/>
    <w:rsid w:val="0089482D"/>
    <w:rsid w:val="00894C1B"/>
    <w:rsid w:val="00894CA9"/>
    <w:rsid w:val="00894D3F"/>
    <w:rsid w:val="00895745"/>
    <w:rsid w:val="00895BD4"/>
    <w:rsid w:val="00895C85"/>
    <w:rsid w:val="00896456"/>
    <w:rsid w:val="0089647E"/>
    <w:rsid w:val="00897A25"/>
    <w:rsid w:val="00897B79"/>
    <w:rsid w:val="008A00C1"/>
    <w:rsid w:val="008A0165"/>
    <w:rsid w:val="008A036A"/>
    <w:rsid w:val="008A086E"/>
    <w:rsid w:val="008A0DDD"/>
    <w:rsid w:val="008A11AC"/>
    <w:rsid w:val="008A15A4"/>
    <w:rsid w:val="008A1E85"/>
    <w:rsid w:val="008A1EFA"/>
    <w:rsid w:val="008A20AB"/>
    <w:rsid w:val="008A2F31"/>
    <w:rsid w:val="008A2FA3"/>
    <w:rsid w:val="008A3553"/>
    <w:rsid w:val="008A4420"/>
    <w:rsid w:val="008A48FF"/>
    <w:rsid w:val="008A574D"/>
    <w:rsid w:val="008A65B5"/>
    <w:rsid w:val="008A66F4"/>
    <w:rsid w:val="008A70CD"/>
    <w:rsid w:val="008A762F"/>
    <w:rsid w:val="008A7DAE"/>
    <w:rsid w:val="008B0871"/>
    <w:rsid w:val="008B13B4"/>
    <w:rsid w:val="008B1AEF"/>
    <w:rsid w:val="008B29FD"/>
    <w:rsid w:val="008B2C0E"/>
    <w:rsid w:val="008B3519"/>
    <w:rsid w:val="008B48F5"/>
    <w:rsid w:val="008B526F"/>
    <w:rsid w:val="008B5D15"/>
    <w:rsid w:val="008B60AD"/>
    <w:rsid w:val="008B79AB"/>
    <w:rsid w:val="008B7B8D"/>
    <w:rsid w:val="008C0765"/>
    <w:rsid w:val="008C146A"/>
    <w:rsid w:val="008C2870"/>
    <w:rsid w:val="008C2A3D"/>
    <w:rsid w:val="008C2A7E"/>
    <w:rsid w:val="008C412D"/>
    <w:rsid w:val="008C48A3"/>
    <w:rsid w:val="008C4BCD"/>
    <w:rsid w:val="008C5606"/>
    <w:rsid w:val="008C5611"/>
    <w:rsid w:val="008C57AF"/>
    <w:rsid w:val="008C604A"/>
    <w:rsid w:val="008C61BA"/>
    <w:rsid w:val="008C6356"/>
    <w:rsid w:val="008C71CF"/>
    <w:rsid w:val="008D0384"/>
    <w:rsid w:val="008D05DE"/>
    <w:rsid w:val="008D0BB5"/>
    <w:rsid w:val="008D102B"/>
    <w:rsid w:val="008D17B1"/>
    <w:rsid w:val="008D210A"/>
    <w:rsid w:val="008D38AD"/>
    <w:rsid w:val="008D3B4E"/>
    <w:rsid w:val="008D3EED"/>
    <w:rsid w:val="008D4602"/>
    <w:rsid w:val="008D4615"/>
    <w:rsid w:val="008D47BF"/>
    <w:rsid w:val="008D63BA"/>
    <w:rsid w:val="008D6A9E"/>
    <w:rsid w:val="008D74E8"/>
    <w:rsid w:val="008D79FA"/>
    <w:rsid w:val="008D7ABF"/>
    <w:rsid w:val="008D7D2D"/>
    <w:rsid w:val="008E065A"/>
    <w:rsid w:val="008E11CF"/>
    <w:rsid w:val="008E27C0"/>
    <w:rsid w:val="008E40D9"/>
    <w:rsid w:val="008E4799"/>
    <w:rsid w:val="008E5BC3"/>
    <w:rsid w:val="008E6B91"/>
    <w:rsid w:val="008E7387"/>
    <w:rsid w:val="008F0D0B"/>
    <w:rsid w:val="008F1664"/>
    <w:rsid w:val="008F2005"/>
    <w:rsid w:val="008F24A0"/>
    <w:rsid w:val="008F33CA"/>
    <w:rsid w:val="008F3514"/>
    <w:rsid w:val="008F3F4C"/>
    <w:rsid w:val="008F44AF"/>
    <w:rsid w:val="008F4667"/>
    <w:rsid w:val="008F47AC"/>
    <w:rsid w:val="008F497F"/>
    <w:rsid w:val="008F56CE"/>
    <w:rsid w:val="008F59F8"/>
    <w:rsid w:val="008F5A28"/>
    <w:rsid w:val="008F5CE1"/>
    <w:rsid w:val="008F716C"/>
    <w:rsid w:val="00900093"/>
    <w:rsid w:val="009002F9"/>
    <w:rsid w:val="00900484"/>
    <w:rsid w:val="00900F3B"/>
    <w:rsid w:val="00901264"/>
    <w:rsid w:val="009019B8"/>
    <w:rsid w:val="009023CB"/>
    <w:rsid w:val="00902546"/>
    <w:rsid w:val="00902665"/>
    <w:rsid w:val="00902A7F"/>
    <w:rsid w:val="009037CE"/>
    <w:rsid w:val="00903F6C"/>
    <w:rsid w:val="00904172"/>
    <w:rsid w:val="00904B85"/>
    <w:rsid w:val="00905DF8"/>
    <w:rsid w:val="00906BDD"/>
    <w:rsid w:val="009079F6"/>
    <w:rsid w:val="00907B79"/>
    <w:rsid w:val="00907F17"/>
    <w:rsid w:val="009106F7"/>
    <w:rsid w:val="009112A2"/>
    <w:rsid w:val="00911509"/>
    <w:rsid w:val="0091188B"/>
    <w:rsid w:val="00911927"/>
    <w:rsid w:val="009119F8"/>
    <w:rsid w:val="0091415F"/>
    <w:rsid w:val="00915512"/>
    <w:rsid w:val="00916408"/>
    <w:rsid w:val="00917371"/>
    <w:rsid w:val="009174D1"/>
    <w:rsid w:val="0092014F"/>
    <w:rsid w:val="009203ED"/>
    <w:rsid w:val="00920675"/>
    <w:rsid w:val="0092238E"/>
    <w:rsid w:val="009224E3"/>
    <w:rsid w:val="009227DA"/>
    <w:rsid w:val="0092292E"/>
    <w:rsid w:val="00922C7C"/>
    <w:rsid w:val="00922D37"/>
    <w:rsid w:val="00922E6F"/>
    <w:rsid w:val="0092356B"/>
    <w:rsid w:val="009237BB"/>
    <w:rsid w:val="0092493D"/>
    <w:rsid w:val="009251AB"/>
    <w:rsid w:val="009256BA"/>
    <w:rsid w:val="00925812"/>
    <w:rsid w:val="00925E35"/>
    <w:rsid w:val="0092629E"/>
    <w:rsid w:val="0092679E"/>
    <w:rsid w:val="00926B93"/>
    <w:rsid w:val="00927294"/>
    <w:rsid w:val="0092729C"/>
    <w:rsid w:val="0093014C"/>
    <w:rsid w:val="009301E1"/>
    <w:rsid w:val="00932436"/>
    <w:rsid w:val="00932BE3"/>
    <w:rsid w:val="0093455B"/>
    <w:rsid w:val="0093488F"/>
    <w:rsid w:val="00935543"/>
    <w:rsid w:val="00935651"/>
    <w:rsid w:val="00935A07"/>
    <w:rsid w:val="00936377"/>
    <w:rsid w:val="00936836"/>
    <w:rsid w:val="00936A7D"/>
    <w:rsid w:val="00937386"/>
    <w:rsid w:val="00937510"/>
    <w:rsid w:val="00937600"/>
    <w:rsid w:val="00937ABB"/>
    <w:rsid w:val="0094012C"/>
    <w:rsid w:val="00940878"/>
    <w:rsid w:val="0094134A"/>
    <w:rsid w:val="00941A73"/>
    <w:rsid w:val="00941BC0"/>
    <w:rsid w:val="0094243E"/>
    <w:rsid w:val="0094262D"/>
    <w:rsid w:val="00943447"/>
    <w:rsid w:val="00943BE2"/>
    <w:rsid w:val="00943C2D"/>
    <w:rsid w:val="00943C71"/>
    <w:rsid w:val="0094435A"/>
    <w:rsid w:val="00944458"/>
    <w:rsid w:val="0094453D"/>
    <w:rsid w:val="0094577E"/>
    <w:rsid w:val="00945E1F"/>
    <w:rsid w:val="0094611F"/>
    <w:rsid w:val="0094719E"/>
    <w:rsid w:val="009472DA"/>
    <w:rsid w:val="00950319"/>
    <w:rsid w:val="009524A4"/>
    <w:rsid w:val="00952E97"/>
    <w:rsid w:val="0095308F"/>
    <w:rsid w:val="00954849"/>
    <w:rsid w:val="009549C8"/>
    <w:rsid w:val="009551C0"/>
    <w:rsid w:val="00955782"/>
    <w:rsid w:val="0095727A"/>
    <w:rsid w:val="009578D1"/>
    <w:rsid w:val="009601EE"/>
    <w:rsid w:val="00960703"/>
    <w:rsid w:val="00960B80"/>
    <w:rsid w:val="00960EDB"/>
    <w:rsid w:val="00960FD2"/>
    <w:rsid w:val="00961CBB"/>
    <w:rsid w:val="00962BEF"/>
    <w:rsid w:val="00962C39"/>
    <w:rsid w:val="009635F5"/>
    <w:rsid w:val="00964FA0"/>
    <w:rsid w:val="009655BB"/>
    <w:rsid w:val="00965662"/>
    <w:rsid w:val="0096587B"/>
    <w:rsid w:val="00965972"/>
    <w:rsid w:val="00965B85"/>
    <w:rsid w:val="00966028"/>
    <w:rsid w:val="00966D3B"/>
    <w:rsid w:val="009676CE"/>
    <w:rsid w:val="00967F06"/>
    <w:rsid w:val="00970101"/>
    <w:rsid w:val="0097011E"/>
    <w:rsid w:val="009701AF"/>
    <w:rsid w:val="0097220E"/>
    <w:rsid w:val="00972E6E"/>
    <w:rsid w:val="00973702"/>
    <w:rsid w:val="00973AE9"/>
    <w:rsid w:val="00973DFB"/>
    <w:rsid w:val="00974C72"/>
    <w:rsid w:val="00974D05"/>
    <w:rsid w:val="00975798"/>
    <w:rsid w:val="00975F9F"/>
    <w:rsid w:val="00977220"/>
    <w:rsid w:val="00980196"/>
    <w:rsid w:val="00981A46"/>
    <w:rsid w:val="009826E9"/>
    <w:rsid w:val="00983251"/>
    <w:rsid w:val="0098358E"/>
    <w:rsid w:val="009836CD"/>
    <w:rsid w:val="00983A0F"/>
    <w:rsid w:val="009842A5"/>
    <w:rsid w:val="00985173"/>
    <w:rsid w:val="009855C3"/>
    <w:rsid w:val="00985C8F"/>
    <w:rsid w:val="009876E6"/>
    <w:rsid w:val="00987B44"/>
    <w:rsid w:val="00987D54"/>
    <w:rsid w:val="009900DF"/>
    <w:rsid w:val="00990FBD"/>
    <w:rsid w:val="009918FC"/>
    <w:rsid w:val="009919D7"/>
    <w:rsid w:val="00991FFB"/>
    <w:rsid w:val="00992F6A"/>
    <w:rsid w:val="009931DA"/>
    <w:rsid w:val="00995778"/>
    <w:rsid w:val="00996518"/>
    <w:rsid w:val="00996588"/>
    <w:rsid w:val="0099667F"/>
    <w:rsid w:val="00996A17"/>
    <w:rsid w:val="00996AE8"/>
    <w:rsid w:val="00997015"/>
    <w:rsid w:val="009976A6"/>
    <w:rsid w:val="00997922"/>
    <w:rsid w:val="009A0194"/>
    <w:rsid w:val="009A2103"/>
    <w:rsid w:val="009A2C17"/>
    <w:rsid w:val="009A4285"/>
    <w:rsid w:val="009A4A9A"/>
    <w:rsid w:val="009A4E5A"/>
    <w:rsid w:val="009A52C3"/>
    <w:rsid w:val="009A5FA1"/>
    <w:rsid w:val="009A7667"/>
    <w:rsid w:val="009A77EC"/>
    <w:rsid w:val="009B1C87"/>
    <w:rsid w:val="009B1CCB"/>
    <w:rsid w:val="009B2690"/>
    <w:rsid w:val="009B290A"/>
    <w:rsid w:val="009B2A61"/>
    <w:rsid w:val="009B2AB8"/>
    <w:rsid w:val="009B2E17"/>
    <w:rsid w:val="009B3E43"/>
    <w:rsid w:val="009B5382"/>
    <w:rsid w:val="009B5A79"/>
    <w:rsid w:val="009B5F2C"/>
    <w:rsid w:val="009B65C4"/>
    <w:rsid w:val="009B6647"/>
    <w:rsid w:val="009B6887"/>
    <w:rsid w:val="009B6F8E"/>
    <w:rsid w:val="009B72D1"/>
    <w:rsid w:val="009C0A72"/>
    <w:rsid w:val="009C0AAC"/>
    <w:rsid w:val="009C1091"/>
    <w:rsid w:val="009C1963"/>
    <w:rsid w:val="009C1B64"/>
    <w:rsid w:val="009C20E1"/>
    <w:rsid w:val="009C2143"/>
    <w:rsid w:val="009C2B8A"/>
    <w:rsid w:val="009C2EDA"/>
    <w:rsid w:val="009C3E5B"/>
    <w:rsid w:val="009C411F"/>
    <w:rsid w:val="009C4492"/>
    <w:rsid w:val="009C4BDB"/>
    <w:rsid w:val="009C5148"/>
    <w:rsid w:val="009C57B7"/>
    <w:rsid w:val="009C66C7"/>
    <w:rsid w:val="009C7203"/>
    <w:rsid w:val="009C78E0"/>
    <w:rsid w:val="009D0044"/>
    <w:rsid w:val="009D02AB"/>
    <w:rsid w:val="009D13DB"/>
    <w:rsid w:val="009D1FB1"/>
    <w:rsid w:val="009D2E96"/>
    <w:rsid w:val="009D2F34"/>
    <w:rsid w:val="009D35BA"/>
    <w:rsid w:val="009D3753"/>
    <w:rsid w:val="009D37F8"/>
    <w:rsid w:val="009D484D"/>
    <w:rsid w:val="009D5CD2"/>
    <w:rsid w:val="009D7140"/>
    <w:rsid w:val="009E0BD5"/>
    <w:rsid w:val="009E0E15"/>
    <w:rsid w:val="009E16F4"/>
    <w:rsid w:val="009E3358"/>
    <w:rsid w:val="009E40B9"/>
    <w:rsid w:val="009E5191"/>
    <w:rsid w:val="009E610E"/>
    <w:rsid w:val="009E6320"/>
    <w:rsid w:val="009E64B7"/>
    <w:rsid w:val="009E6BBF"/>
    <w:rsid w:val="009E7552"/>
    <w:rsid w:val="009E7E2D"/>
    <w:rsid w:val="009E7EB8"/>
    <w:rsid w:val="009F1802"/>
    <w:rsid w:val="009F332E"/>
    <w:rsid w:val="009F38DA"/>
    <w:rsid w:val="009F3C53"/>
    <w:rsid w:val="009F4D9A"/>
    <w:rsid w:val="009F5BFE"/>
    <w:rsid w:val="009F5C76"/>
    <w:rsid w:val="009F6C64"/>
    <w:rsid w:val="009F780F"/>
    <w:rsid w:val="009F7AE5"/>
    <w:rsid w:val="00A0041E"/>
    <w:rsid w:val="00A0048F"/>
    <w:rsid w:val="00A007E2"/>
    <w:rsid w:val="00A00A63"/>
    <w:rsid w:val="00A01129"/>
    <w:rsid w:val="00A017F4"/>
    <w:rsid w:val="00A033DD"/>
    <w:rsid w:val="00A044B4"/>
    <w:rsid w:val="00A047D5"/>
    <w:rsid w:val="00A04BAE"/>
    <w:rsid w:val="00A04E37"/>
    <w:rsid w:val="00A056A6"/>
    <w:rsid w:val="00A058F1"/>
    <w:rsid w:val="00A06388"/>
    <w:rsid w:val="00A06E36"/>
    <w:rsid w:val="00A07EAF"/>
    <w:rsid w:val="00A1029D"/>
    <w:rsid w:val="00A10EF3"/>
    <w:rsid w:val="00A11805"/>
    <w:rsid w:val="00A1273D"/>
    <w:rsid w:val="00A13114"/>
    <w:rsid w:val="00A136C8"/>
    <w:rsid w:val="00A13C63"/>
    <w:rsid w:val="00A144BA"/>
    <w:rsid w:val="00A148D1"/>
    <w:rsid w:val="00A15B30"/>
    <w:rsid w:val="00A15F53"/>
    <w:rsid w:val="00A1699D"/>
    <w:rsid w:val="00A23BAC"/>
    <w:rsid w:val="00A24331"/>
    <w:rsid w:val="00A24D9E"/>
    <w:rsid w:val="00A25672"/>
    <w:rsid w:val="00A25AD9"/>
    <w:rsid w:val="00A2643A"/>
    <w:rsid w:val="00A27001"/>
    <w:rsid w:val="00A277C5"/>
    <w:rsid w:val="00A27E8B"/>
    <w:rsid w:val="00A309AB"/>
    <w:rsid w:val="00A310EE"/>
    <w:rsid w:val="00A32CB1"/>
    <w:rsid w:val="00A32F20"/>
    <w:rsid w:val="00A3376D"/>
    <w:rsid w:val="00A34F4A"/>
    <w:rsid w:val="00A353F7"/>
    <w:rsid w:val="00A35BEF"/>
    <w:rsid w:val="00A362D9"/>
    <w:rsid w:val="00A36422"/>
    <w:rsid w:val="00A37469"/>
    <w:rsid w:val="00A40614"/>
    <w:rsid w:val="00A41238"/>
    <w:rsid w:val="00A41792"/>
    <w:rsid w:val="00A42B45"/>
    <w:rsid w:val="00A433FE"/>
    <w:rsid w:val="00A438C3"/>
    <w:rsid w:val="00A45B19"/>
    <w:rsid w:val="00A45B2E"/>
    <w:rsid w:val="00A4625A"/>
    <w:rsid w:val="00A467E5"/>
    <w:rsid w:val="00A46DBB"/>
    <w:rsid w:val="00A47776"/>
    <w:rsid w:val="00A5146C"/>
    <w:rsid w:val="00A518D8"/>
    <w:rsid w:val="00A51A45"/>
    <w:rsid w:val="00A51D69"/>
    <w:rsid w:val="00A52053"/>
    <w:rsid w:val="00A52333"/>
    <w:rsid w:val="00A539BE"/>
    <w:rsid w:val="00A54226"/>
    <w:rsid w:val="00A56779"/>
    <w:rsid w:val="00A5698A"/>
    <w:rsid w:val="00A57442"/>
    <w:rsid w:val="00A57604"/>
    <w:rsid w:val="00A57A9E"/>
    <w:rsid w:val="00A60ED4"/>
    <w:rsid w:val="00A6119B"/>
    <w:rsid w:val="00A615FE"/>
    <w:rsid w:val="00A61BC9"/>
    <w:rsid w:val="00A624F1"/>
    <w:rsid w:val="00A62974"/>
    <w:rsid w:val="00A633A9"/>
    <w:rsid w:val="00A63655"/>
    <w:rsid w:val="00A63D54"/>
    <w:rsid w:val="00A63FF3"/>
    <w:rsid w:val="00A642D3"/>
    <w:rsid w:val="00A64FF4"/>
    <w:rsid w:val="00A6550B"/>
    <w:rsid w:val="00A655A4"/>
    <w:rsid w:val="00A657BC"/>
    <w:rsid w:val="00A66597"/>
    <w:rsid w:val="00A66742"/>
    <w:rsid w:val="00A66BE9"/>
    <w:rsid w:val="00A67022"/>
    <w:rsid w:val="00A673FB"/>
    <w:rsid w:val="00A67D4F"/>
    <w:rsid w:val="00A67DAF"/>
    <w:rsid w:val="00A67F1B"/>
    <w:rsid w:val="00A67F9E"/>
    <w:rsid w:val="00A726DD"/>
    <w:rsid w:val="00A7270F"/>
    <w:rsid w:val="00A72F35"/>
    <w:rsid w:val="00A7337B"/>
    <w:rsid w:val="00A738A8"/>
    <w:rsid w:val="00A73B6B"/>
    <w:rsid w:val="00A73D3B"/>
    <w:rsid w:val="00A73DA2"/>
    <w:rsid w:val="00A73EA0"/>
    <w:rsid w:val="00A7431C"/>
    <w:rsid w:val="00A753EF"/>
    <w:rsid w:val="00A753FF"/>
    <w:rsid w:val="00A75F28"/>
    <w:rsid w:val="00A76F5F"/>
    <w:rsid w:val="00A778CD"/>
    <w:rsid w:val="00A80F0C"/>
    <w:rsid w:val="00A81ABD"/>
    <w:rsid w:val="00A8202C"/>
    <w:rsid w:val="00A8218B"/>
    <w:rsid w:val="00A8278F"/>
    <w:rsid w:val="00A827B0"/>
    <w:rsid w:val="00A82EB4"/>
    <w:rsid w:val="00A844DA"/>
    <w:rsid w:val="00A84CB2"/>
    <w:rsid w:val="00A84D9D"/>
    <w:rsid w:val="00A85408"/>
    <w:rsid w:val="00A85E43"/>
    <w:rsid w:val="00A8602B"/>
    <w:rsid w:val="00A86150"/>
    <w:rsid w:val="00A873B4"/>
    <w:rsid w:val="00A8748B"/>
    <w:rsid w:val="00A879A0"/>
    <w:rsid w:val="00A90129"/>
    <w:rsid w:val="00A9060E"/>
    <w:rsid w:val="00A908D5"/>
    <w:rsid w:val="00A90EF7"/>
    <w:rsid w:val="00A91BD6"/>
    <w:rsid w:val="00A920A9"/>
    <w:rsid w:val="00A92320"/>
    <w:rsid w:val="00A9257A"/>
    <w:rsid w:val="00A92942"/>
    <w:rsid w:val="00A92D5D"/>
    <w:rsid w:val="00A931A7"/>
    <w:rsid w:val="00A93D88"/>
    <w:rsid w:val="00A940A3"/>
    <w:rsid w:val="00A944F7"/>
    <w:rsid w:val="00A94F94"/>
    <w:rsid w:val="00A95240"/>
    <w:rsid w:val="00A95DFC"/>
    <w:rsid w:val="00A95F18"/>
    <w:rsid w:val="00A97799"/>
    <w:rsid w:val="00AA0359"/>
    <w:rsid w:val="00AA07C0"/>
    <w:rsid w:val="00AA0B81"/>
    <w:rsid w:val="00AA0E30"/>
    <w:rsid w:val="00AA1965"/>
    <w:rsid w:val="00AA1A1F"/>
    <w:rsid w:val="00AA2953"/>
    <w:rsid w:val="00AA39AF"/>
    <w:rsid w:val="00AA3D1C"/>
    <w:rsid w:val="00AA42A2"/>
    <w:rsid w:val="00AA42B6"/>
    <w:rsid w:val="00AA4D2E"/>
    <w:rsid w:val="00AA61F2"/>
    <w:rsid w:val="00AA6559"/>
    <w:rsid w:val="00AA7339"/>
    <w:rsid w:val="00AA7926"/>
    <w:rsid w:val="00AA7C5C"/>
    <w:rsid w:val="00AB02E6"/>
    <w:rsid w:val="00AB1229"/>
    <w:rsid w:val="00AB2F3D"/>
    <w:rsid w:val="00AB402B"/>
    <w:rsid w:val="00AB46FC"/>
    <w:rsid w:val="00AB4CAF"/>
    <w:rsid w:val="00AB4CD6"/>
    <w:rsid w:val="00AB502E"/>
    <w:rsid w:val="00AB6933"/>
    <w:rsid w:val="00AB7C7C"/>
    <w:rsid w:val="00AB7E61"/>
    <w:rsid w:val="00AC039E"/>
    <w:rsid w:val="00AC04A1"/>
    <w:rsid w:val="00AC257A"/>
    <w:rsid w:val="00AC2FEF"/>
    <w:rsid w:val="00AC371C"/>
    <w:rsid w:val="00AC3AFB"/>
    <w:rsid w:val="00AC4492"/>
    <w:rsid w:val="00AC48D3"/>
    <w:rsid w:val="00AC5A69"/>
    <w:rsid w:val="00AC5FEC"/>
    <w:rsid w:val="00AC66CB"/>
    <w:rsid w:val="00AC6EE8"/>
    <w:rsid w:val="00AD12E4"/>
    <w:rsid w:val="00AD14AF"/>
    <w:rsid w:val="00AD156E"/>
    <w:rsid w:val="00AD2AE4"/>
    <w:rsid w:val="00AD3367"/>
    <w:rsid w:val="00AD3FF8"/>
    <w:rsid w:val="00AD4427"/>
    <w:rsid w:val="00AD5E55"/>
    <w:rsid w:val="00AD6F0B"/>
    <w:rsid w:val="00AD708A"/>
    <w:rsid w:val="00AD7447"/>
    <w:rsid w:val="00AD7C42"/>
    <w:rsid w:val="00AD7DF2"/>
    <w:rsid w:val="00AE03E5"/>
    <w:rsid w:val="00AE0447"/>
    <w:rsid w:val="00AE1155"/>
    <w:rsid w:val="00AE149C"/>
    <w:rsid w:val="00AE1BBC"/>
    <w:rsid w:val="00AE1D2F"/>
    <w:rsid w:val="00AE2476"/>
    <w:rsid w:val="00AE2B89"/>
    <w:rsid w:val="00AE378F"/>
    <w:rsid w:val="00AE3BAF"/>
    <w:rsid w:val="00AE3C72"/>
    <w:rsid w:val="00AE4024"/>
    <w:rsid w:val="00AE4528"/>
    <w:rsid w:val="00AE4B33"/>
    <w:rsid w:val="00AE53EC"/>
    <w:rsid w:val="00AE5666"/>
    <w:rsid w:val="00AE5B5F"/>
    <w:rsid w:val="00AE5E43"/>
    <w:rsid w:val="00AE653D"/>
    <w:rsid w:val="00AE663D"/>
    <w:rsid w:val="00AE67D7"/>
    <w:rsid w:val="00AE705B"/>
    <w:rsid w:val="00AE7B11"/>
    <w:rsid w:val="00AF037F"/>
    <w:rsid w:val="00AF0553"/>
    <w:rsid w:val="00AF0D61"/>
    <w:rsid w:val="00AF1AC1"/>
    <w:rsid w:val="00AF2478"/>
    <w:rsid w:val="00AF2689"/>
    <w:rsid w:val="00AF27FA"/>
    <w:rsid w:val="00AF2928"/>
    <w:rsid w:val="00AF2FB1"/>
    <w:rsid w:val="00AF2FB5"/>
    <w:rsid w:val="00AF3E38"/>
    <w:rsid w:val="00AF6137"/>
    <w:rsid w:val="00AF740E"/>
    <w:rsid w:val="00B000B5"/>
    <w:rsid w:val="00B00C8A"/>
    <w:rsid w:val="00B01515"/>
    <w:rsid w:val="00B015F9"/>
    <w:rsid w:val="00B0183D"/>
    <w:rsid w:val="00B024AF"/>
    <w:rsid w:val="00B02AC2"/>
    <w:rsid w:val="00B02FD3"/>
    <w:rsid w:val="00B0379F"/>
    <w:rsid w:val="00B04540"/>
    <w:rsid w:val="00B04902"/>
    <w:rsid w:val="00B04F56"/>
    <w:rsid w:val="00B05A1E"/>
    <w:rsid w:val="00B05E11"/>
    <w:rsid w:val="00B05F2C"/>
    <w:rsid w:val="00B05F5F"/>
    <w:rsid w:val="00B06E7C"/>
    <w:rsid w:val="00B0761B"/>
    <w:rsid w:val="00B07D44"/>
    <w:rsid w:val="00B11832"/>
    <w:rsid w:val="00B136F0"/>
    <w:rsid w:val="00B13A44"/>
    <w:rsid w:val="00B144E0"/>
    <w:rsid w:val="00B14948"/>
    <w:rsid w:val="00B163B5"/>
    <w:rsid w:val="00B16431"/>
    <w:rsid w:val="00B175F1"/>
    <w:rsid w:val="00B17695"/>
    <w:rsid w:val="00B17E2F"/>
    <w:rsid w:val="00B17E43"/>
    <w:rsid w:val="00B17F24"/>
    <w:rsid w:val="00B20005"/>
    <w:rsid w:val="00B2068E"/>
    <w:rsid w:val="00B21350"/>
    <w:rsid w:val="00B21F78"/>
    <w:rsid w:val="00B23CC0"/>
    <w:rsid w:val="00B24AA4"/>
    <w:rsid w:val="00B257B5"/>
    <w:rsid w:val="00B257EE"/>
    <w:rsid w:val="00B25B33"/>
    <w:rsid w:val="00B25F5F"/>
    <w:rsid w:val="00B25FC0"/>
    <w:rsid w:val="00B26249"/>
    <w:rsid w:val="00B26CE4"/>
    <w:rsid w:val="00B2798F"/>
    <w:rsid w:val="00B27C71"/>
    <w:rsid w:val="00B302BD"/>
    <w:rsid w:val="00B309A4"/>
    <w:rsid w:val="00B309C9"/>
    <w:rsid w:val="00B31234"/>
    <w:rsid w:val="00B319AB"/>
    <w:rsid w:val="00B31EA5"/>
    <w:rsid w:val="00B32DA9"/>
    <w:rsid w:val="00B32F96"/>
    <w:rsid w:val="00B345B4"/>
    <w:rsid w:val="00B349B1"/>
    <w:rsid w:val="00B34D2E"/>
    <w:rsid w:val="00B34E3A"/>
    <w:rsid w:val="00B3731D"/>
    <w:rsid w:val="00B375ED"/>
    <w:rsid w:val="00B375F5"/>
    <w:rsid w:val="00B3774B"/>
    <w:rsid w:val="00B37BCF"/>
    <w:rsid w:val="00B402F8"/>
    <w:rsid w:val="00B4053F"/>
    <w:rsid w:val="00B41018"/>
    <w:rsid w:val="00B4180A"/>
    <w:rsid w:val="00B41D5F"/>
    <w:rsid w:val="00B4387E"/>
    <w:rsid w:val="00B4437E"/>
    <w:rsid w:val="00B45387"/>
    <w:rsid w:val="00B457B9"/>
    <w:rsid w:val="00B4653C"/>
    <w:rsid w:val="00B4686A"/>
    <w:rsid w:val="00B469F6"/>
    <w:rsid w:val="00B4705F"/>
    <w:rsid w:val="00B4796E"/>
    <w:rsid w:val="00B5164C"/>
    <w:rsid w:val="00B519F1"/>
    <w:rsid w:val="00B51B86"/>
    <w:rsid w:val="00B5331C"/>
    <w:rsid w:val="00B54702"/>
    <w:rsid w:val="00B54738"/>
    <w:rsid w:val="00B5520F"/>
    <w:rsid w:val="00B55260"/>
    <w:rsid w:val="00B575C2"/>
    <w:rsid w:val="00B57882"/>
    <w:rsid w:val="00B6083A"/>
    <w:rsid w:val="00B60D1B"/>
    <w:rsid w:val="00B60DF6"/>
    <w:rsid w:val="00B61BAE"/>
    <w:rsid w:val="00B62320"/>
    <w:rsid w:val="00B6424B"/>
    <w:rsid w:val="00B64301"/>
    <w:rsid w:val="00B64537"/>
    <w:rsid w:val="00B649D1"/>
    <w:rsid w:val="00B65144"/>
    <w:rsid w:val="00B656D9"/>
    <w:rsid w:val="00B65FA4"/>
    <w:rsid w:val="00B65FF5"/>
    <w:rsid w:val="00B6606B"/>
    <w:rsid w:val="00B66794"/>
    <w:rsid w:val="00B667BD"/>
    <w:rsid w:val="00B66C7F"/>
    <w:rsid w:val="00B67AB9"/>
    <w:rsid w:val="00B7022B"/>
    <w:rsid w:val="00B70680"/>
    <w:rsid w:val="00B71373"/>
    <w:rsid w:val="00B7184E"/>
    <w:rsid w:val="00B71A5B"/>
    <w:rsid w:val="00B71A6D"/>
    <w:rsid w:val="00B72181"/>
    <w:rsid w:val="00B723B1"/>
    <w:rsid w:val="00B72569"/>
    <w:rsid w:val="00B729B6"/>
    <w:rsid w:val="00B72F68"/>
    <w:rsid w:val="00B74005"/>
    <w:rsid w:val="00B74187"/>
    <w:rsid w:val="00B7605D"/>
    <w:rsid w:val="00B764BD"/>
    <w:rsid w:val="00B76597"/>
    <w:rsid w:val="00B77166"/>
    <w:rsid w:val="00B775B8"/>
    <w:rsid w:val="00B77D4E"/>
    <w:rsid w:val="00B77F04"/>
    <w:rsid w:val="00B8022A"/>
    <w:rsid w:val="00B8067F"/>
    <w:rsid w:val="00B816AB"/>
    <w:rsid w:val="00B81A3E"/>
    <w:rsid w:val="00B82A3C"/>
    <w:rsid w:val="00B82D60"/>
    <w:rsid w:val="00B83181"/>
    <w:rsid w:val="00B83E44"/>
    <w:rsid w:val="00B84405"/>
    <w:rsid w:val="00B84512"/>
    <w:rsid w:val="00B84BA9"/>
    <w:rsid w:val="00B84DD1"/>
    <w:rsid w:val="00B86014"/>
    <w:rsid w:val="00B87CFF"/>
    <w:rsid w:val="00B90C92"/>
    <w:rsid w:val="00B90DF3"/>
    <w:rsid w:val="00B9148E"/>
    <w:rsid w:val="00B915F4"/>
    <w:rsid w:val="00B91F87"/>
    <w:rsid w:val="00B925AE"/>
    <w:rsid w:val="00B9466B"/>
    <w:rsid w:val="00B946AB"/>
    <w:rsid w:val="00B95593"/>
    <w:rsid w:val="00B95CB1"/>
    <w:rsid w:val="00B95ED8"/>
    <w:rsid w:val="00B96402"/>
    <w:rsid w:val="00B973D7"/>
    <w:rsid w:val="00B97B75"/>
    <w:rsid w:val="00B97D67"/>
    <w:rsid w:val="00BA0C1E"/>
    <w:rsid w:val="00BA0FFB"/>
    <w:rsid w:val="00BA2966"/>
    <w:rsid w:val="00BA3582"/>
    <w:rsid w:val="00BA38D5"/>
    <w:rsid w:val="00BA42A0"/>
    <w:rsid w:val="00BA4756"/>
    <w:rsid w:val="00BA4C9F"/>
    <w:rsid w:val="00BA5224"/>
    <w:rsid w:val="00BA5F1B"/>
    <w:rsid w:val="00BA7C71"/>
    <w:rsid w:val="00BB0470"/>
    <w:rsid w:val="00BB09B9"/>
    <w:rsid w:val="00BB108B"/>
    <w:rsid w:val="00BB15C2"/>
    <w:rsid w:val="00BB1CC5"/>
    <w:rsid w:val="00BB200D"/>
    <w:rsid w:val="00BB2827"/>
    <w:rsid w:val="00BB2C0C"/>
    <w:rsid w:val="00BB2F5F"/>
    <w:rsid w:val="00BB3C30"/>
    <w:rsid w:val="00BB4361"/>
    <w:rsid w:val="00BB4397"/>
    <w:rsid w:val="00BB4AAB"/>
    <w:rsid w:val="00BB6A77"/>
    <w:rsid w:val="00BB71B9"/>
    <w:rsid w:val="00BB77F1"/>
    <w:rsid w:val="00BB7BCD"/>
    <w:rsid w:val="00BC0062"/>
    <w:rsid w:val="00BC0684"/>
    <w:rsid w:val="00BC08A4"/>
    <w:rsid w:val="00BC13AE"/>
    <w:rsid w:val="00BC2376"/>
    <w:rsid w:val="00BC3A10"/>
    <w:rsid w:val="00BC5692"/>
    <w:rsid w:val="00BC59FB"/>
    <w:rsid w:val="00BC5A35"/>
    <w:rsid w:val="00BC5E71"/>
    <w:rsid w:val="00BC6B6F"/>
    <w:rsid w:val="00BC6D6F"/>
    <w:rsid w:val="00BD0B6F"/>
    <w:rsid w:val="00BD0C3C"/>
    <w:rsid w:val="00BD2599"/>
    <w:rsid w:val="00BD26D8"/>
    <w:rsid w:val="00BD27BA"/>
    <w:rsid w:val="00BD2ACF"/>
    <w:rsid w:val="00BD317F"/>
    <w:rsid w:val="00BD47E8"/>
    <w:rsid w:val="00BD4AF3"/>
    <w:rsid w:val="00BD6593"/>
    <w:rsid w:val="00BD684B"/>
    <w:rsid w:val="00BD6D92"/>
    <w:rsid w:val="00BD6DE1"/>
    <w:rsid w:val="00BD74CE"/>
    <w:rsid w:val="00BE1208"/>
    <w:rsid w:val="00BE23AA"/>
    <w:rsid w:val="00BE2E87"/>
    <w:rsid w:val="00BE2FC7"/>
    <w:rsid w:val="00BE338E"/>
    <w:rsid w:val="00BE4A7F"/>
    <w:rsid w:val="00BE651C"/>
    <w:rsid w:val="00BE659C"/>
    <w:rsid w:val="00BE7330"/>
    <w:rsid w:val="00BE7629"/>
    <w:rsid w:val="00BE7C14"/>
    <w:rsid w:val="00BF00FE"/>
    <w:rsid w:val="00BF0A3F"/>
    <w:rsid w:val="00BF0B90"/>
    <w:rsid w:val="00BF0E80"/>
    <w:rsid w:val="00BF1483"/>
    <w:rsid w:val="00BF1908"/>
    <w:rsid w:val="00BF1953"/>
    <w:rsid w:val="00BF22D3"/>
    <w:rsid w:val="00BF2966"/>
    <w:rsid w:val="00BF311B"/>
    <w:rsid w:val="00BF38FF"/>
    <w:rsid w:val="00BF3FE0"/>
    <w:rsid w:val="00BF4BA9"/>
    <w:rsid w:val="00BF6D55"/>
    <w:rsid w:val="00BF7AB7"/>
    <w:rsid w:val="00BF7C7C"/>
    <w:rsid w:val="00C008BF"/>
    <w:rsid w:val="00C01B70"/>
    <w:rsid w:val="00C01C1C"/>
    <w:rsid w:val="00C020CE"/>
    <w:rsid w:val="00C02111"/>
    <w:rsid w:val="00C035EE"/>
    <w:rsid w:val="00C03A6D"/>
    <w:rsid w:val="00C047D1"/>
    <w:rsid w:val="00C04A3E"/>
    <w:rsid w:val="00C05B59"/>
    <w:rsid w:val="00C065DD"/>
    <w:rsid w:val="00C065E3"/>
    <w:rsid w:val="00C0665E"/>
    <w:rsid w:val="00C06D2C"/>
    <w:rsid w:val="00C0782D"/>
    <w:rsid w:val="00C104FC"/>
    <w:rsid w:val="00C10636"/>
    <w:rsid w:val="00C1101A"/>
    <w:rsid w:val="00C11C4F"/>
    <w:rsid w:val="00C128ED"/>
    <w:rsid w:val="00C1294B"/>
    <w:rsid w:val="00C131C0"/>
    <w:rsid w:val="00C139EE"/>
    <w:rsid w:val="00C146B7"/>
    <w:rsid w:val="00C148C5"/>
    <w:rsid w:val="00C14B57"/>
    <w:rsid w:val="00C1546F"/>
    <w:rsid w:val="00C15831"/>
    <w:rsid w:val="00C16227"/>
    <w:rsid w:val="00C164AD"/>
    <w:rsid w:val="00C166F4"/>
    <w:rsid w:val="00C167C6"/>
    <w:rsid w:val="00C21BBF"/>
    <w:rsid w:val="00C21D85"/>
    <w:rsid w:val="00C2269E"/>
    <w:rsid w:val="00C22719"/>
    <w:rsid w:val="00C2396F"/>
    <w:rsid w:val="00C25847"/>
    <w:rsid w:val="00C25D8B"/>
    <w:rsid w:val="00C27131"/>
    <w:rsid w:val="00C27265"/>
    <w:rsid w:val="00C27907"/>
    <w:rsid w:val="00C27B8F"/>
    <w:rsid w:val="00C27D35"/>
    <w:rsid w:val="00C30652"/>
    <w:rsid w:val="00C306C3"/>
    <w:rsid w:val="00C30CB4"/>
    <w:rsid w:val="00C3120F"/>
    <w:rsid w:val="00C31285"/>
    <w:rsid w:val="00C3165B"/>
    <w:rsid w:val="00C324A1"/>
    <w:rsid w:val="00C32587"/>
    <w:rsid w:val="00C325C4"/>
    <w:rsid w:val="00C32965"/>
    <w:rsid w:val="00C33768"/>
    <w:rsid w:val="00C3404D"/>
    <w:rsid w:val="00C3565D"/>
    <w:rsid w:val="00C359CB"/>
    <w:rsid w:val="00C35E5E"/>
    <w:rsid w:val="00C3602E"/>
    <w:rsid w:val="00C36730"/>
    <w:rsid w:val="00C36BCE"/>
    <w:rsid w:val="00C375BC"/>
    <w:rsid w:val="00C37D13"/>
    <w:rsid w:val="00C40614"/>
    <w:rsid w:val="00C40ECE"/>
    <w:rsid w:val="00C42047"/>
    <w:rsid w:val="00C43560"/>
    <w:rsid w:val="00C448D4"/>
    <w:rsid w:val="00C44FB5"/>
    <w:rsid w:val="00C452B1"/>
    <w:rsid w:val="00C4584A"/>
    <w:rsid w:val="00C45CD5"/>
    <w:rsid w:val="00C46175"/>
    <w:rsid w:val="00C465A9"/>
    <w:rsid w:val="00C50604"/>
    <w:rsid w:val="00C51698"/>
    <w:rsid w:val="00C51753"/>
    <w:rsid w:val="00C51811"/>
    <w:rsid w:val="00C5181D"/>
    <w:rsid w:val="00C5190B"/>
    <w:rsid w:val="00C51D36"/>
    <w:rsid w:val="00C52392"/>
    <w:rsid w:val="00C530D7"/>
    <w:rsid w:val="00C54089"/>
    <w:rsid w:val="00C55550"/>
    <w:rsid w:val="00C559BA"/>
    <w:rsid w:val="00C560E2"/>
    <w:rsid w:val="00C571BF"/>
    <w:rsid w:val="00C57640"/>
    <w:rsid w:val="00C60004"/>
    <w:rsid w:val="00C60A42"/>
    <w:rsid w:val="00C623BB"/>
    <w:rsid w:val="00C63719"/>
    <w:rsid w:val="00C644AE"/>
    <w:rsid w:val="00C67DB3"/>
    <w:rsid w:val="00C67EC2"/>
    <w:rsid w:val="00C703BB"/>
    <w:rsid w:val="00C70C6C"/>
    <w:rsid w:val="00C72972"/>
    <w:rsid w:val="00C729CF"/>
    <w:rsid w:val="00C73131"/>
    <w:rsid w:val="00C735E7"/>
    <w:rsid w:val="00C74461"/>
    <w:rsid w:val="00C74526"/>
    <w:rsid w:val="00C75033"/>
    <w:rsid w:val="00C7504F"/>
    <w:rsid w:val="00C75331"/>
    <w:rsid w:val="00C7560B"/>
    <w:rsid w:val="00C75887"/>
    <w:rsid w:val="00C758B8"/>
    <w:rsid w:val="00C75AF6"/>
    <w:rsid w:val="00C75E1A"/>
    <w:rsid w:val="00C75F8C"/>
    <w:rsid w:val="00C764E5"/>
    <w:rsid w:val="00C76D14"/>
    <w:rsid w:val="00C771C6"/>
    <w:rsid w:val="00C8089B"/>
    <w:rsid w:val="00C82461"/>
    <w:rsid w:val="00C82AAC"/>
    <w:rsid w:val="00C82DC7"/>
    <w:rsid w:val="00C83154"/>
    <w:rsid w:val="00C83D3B"/>
    <w:rsid w:val="00C8465D"/>
    <w:rsid w:val="00C85D47"/>
    <w:rsid w:val="00C85FA9"/>
    <w:rsid w:val="00C867D8"/>
    <w:rsid w:val="00C86E2C"/>
    <w:rsid w:val="00C8706A"/>
    <w:rsid w:val="00C8749B"/>
    <w:rsid w:val="00C90589"/>
    <w:rsid w:val="00C90739"/>
    <w:rsid w:val="00C90851"/>
    <w:rsid w:val="00C90E52"/>
    <w:rsid w:val="00C9125C"/>
    <w:rsid w:val="00C920FA"/>
    <w:rsid w:val="00C92603"/>
    <w:rsid w:val="00C92858"/>
    <w:rsid w:val="00C941EB"/>
    <w:rsid w:val="00C9465C"/>
    <w:rsid w:val="00C94C92"/>
    <w:rsid w:val="00C95E87"/>
    <w:rsid w:val="00C9665B"/>
    <w:rsid w:val="00C96CC7"/>
    <w:rsid w:val="00C97033"/>
    <w:rsid w:val="00CA00F4"/>
    <w:rsid w:val="00CA2A03"/>
    <w:rsid w:val="00CA2B30"/>
    <w:rsid w:val="00CA31E5"/>
    <w:rsid w:val="00CA33E1"/>
    <w:rsid w:val="00CA35AA"/>
    <w:rsid w:val="00CA4DBE"/>
    <w:rsid w:val="00CA5908"/>
    <w:rsid w:val="00CA67D9"/>
    <w:rsid w:val="00CA6811"/>
    <w:rsid w:val="00CA6B9C"/>
    <w:rsid w:val="00CA7065"/>
    <w:rsid w:val="00CA7D28"/>
    <w:rsid w:val="00CA7E18"/>
    <w:rsid w:val="00CB03FC"/>
    <w:rsid w:val="00CB0E39"/>
    <w:rsid w:val="00CB21F9"/>
    <w:rsid w:val="00CB2682"/>
    <w:rsid w:val="00CB2E32"/>
    <w:rsid w:val="00CB3116"/>
    <w:rsid w:val="00CB3B0B"/>
    <w:rsid w:val="00CB3FFB"/>
    <w:rsid w:val="00CB48A2"/>
    <w:rsid w:val="00CB4ADD"/>
    <w:rsid w:val="00CB4D80"/>
    <w:rsid w:val="00CB64DD"/>
    <w:rsid w:val="00CB6883"/>
    <w:rsid w:val="00CB6B1E"/>
    <w:rsid w:val="00CB6C35"/>
    <w:rsid w:val="00CB6F08"/>
    <w:rsid w:val="00CB711D"/>
    <w:rsid w:val="00CB72FF"/>
    <w:rsid w:val="00CB7999"/>
    <w:rsid w:val="00CB7C4C"/>
    <w:rsid w:val="00CC0267"/>
    <w:rsid w:val="00CC0551"/>
    <w:rsid w:val="00CC12D2"/>
    <w:rsid w:val="00CC1401"/>
    <w:rsid w:val="00CC1566"/>
    <w:rsid w:val="00CC2959"/>
    <w:rsid w:val="00CC2A50"/>
    <w:rsid w:val="00CC2D55"/>
    <w:rsid w:val="00CC435D"/>
    <w:rsid w:val="00CC4520"/>
    <w:rsid w:val="00CC4979"/>
    <w:rsid w:val="00CC4E05"/>
    <w:rsid w:val="00CC5770"/>
    <w:rsid w:val="00CC6563"/>
    <w:rsid w:val="00CC68B0"/>
    <w:rsid w:val="00CC69AE"/>
    <w:rsid w:val="00CC6CE7"/>
    <w:rsid w:val="00CD09AE"/>
    <w:rsid w:val="00CD1333"/>
    <w:rsid w:val="00CD1431"/>
    <w:rsid w:val="00CD16C0"/>
    <w:rsid w:val="00CD2CB0"/>
    <w:rsid w:val="00CD357D"/>
    <w:rsid w:val="00CD3793"/>
    <w:rsid w:val="00CD3B25"/>
    <w:rsid w:val="00CD421C"/>
    <w:rsid w:val="00CD4B4A"/>
    <w:rsid w:val="00CD4C64"/>
    <w:rsid w:val="00CD4F67"/>
    <w:rsid w:val="00CD54FB"/>
    <w:rsid w:val="00CD55A3"/>
    <w:rsid w:val="00CD5971"/>
    <w:rsid w:val="00CD5F88"/>
    <w:rsid w:val="00CD60CB"/>
    <w:rsid w:val="00CE0837"/>
    <w:rsid w:val="00CE0D63"/>
    <w:rsid w:val="00CE10AF"/>
    <w:rsid w:val="00CE15F2"/>
    <w:rsid w:val="00CE3957"/>
    <w:rsid w:val="00CE3A40"/>
    <w:rsid w:val="00CE4008"/>
    <w:rsid w:val="00CE427A"/>
    <w:rsid w:val="00CE5E7B"/>
    <w:rsid w:val="00CE6349"/>
    <w:rsid w:val="00CE6401"/>
    <w:rsid w:val="00CE668C"/>
    <w:rsid w:val="00CE6DF7"/>
    <w:rsid w:val="00CE7E45"/>
    <w:rsid w:val="00CE7EB8"/>
    <w:rsid w:val="00CF004A"/>
    <w:rsid w:val="00CF154F"/>
    <w:rsid w:val="00CF3286"/>
    <w:rsid w:val="00CF3665"/>
    <w:rsid w:val="00CF37E4"/>
    <w:rsid w:val="00CF3893"/>
    <w:rsid w:val="00CF3F2A"/>
    <w:rsid w:val="00CF3FE9"/>
    <w:rsid w:val="00CF4324"/>
    <w:rsid w:val="00CF441A"/>
    <w:rsid w:val="00CF506C"/>
    <w:rsid w:val="00CF54CC"/>
    <w:rsid w:val="00CF5DE0"/>
    <w:rsid w:val="00CF62BB"/>
    <w:rsid w:val="00CF6910"/>
    <w:rsid w:val="00CF6C6A"/>
    <w:rsid w:val="00CF6E70"/>
    <w:rsid w:val="00CF7417"/>
    <w:rsid w:val="00CF774B"/>
    <w:rsid w:val="00D00FE7"/>
    <w:rsid w:val="00D0133E"/>
    <w:rsid w:val="00D013DB"/>
    <w:rsid w:val="00D024AC"/>
    <w:rsid w:val="00D02EBD"/>
    <w:rsid w:val="00D040FB"/>
    <w:rsid w:val="00D04913"/>
    <w:rsid w:val="00D04F62"/>
    <w:rsid w:val="00D05B6D"/>
    <w:rsid w:val="00D05E25"/>
    <w:rsid w:val="00D06199"/>
    <w:rsid w:val="00D0638B"/>
    <w:rsid w:val="00D06A11"/>
    <w:rsid w:val="00D06AB2"/>
    <w:rsid w:val="00D06FB3"/>
    <w:rsid w:val="00D07020"/>
    <w:rsid w:val="00D07A68"/>
    <w:rsid w:val="00D100C3"/>
    <w:rsid w:val="00D10747"/>
    <w:rsid w:val="00D118E3"/>
    <w:rsid w:val="00D11C87"/>
    <w:rsid w:val="00D11E96"/>
    <w:rsid w:val="00D120C4"/>
    <w:rsid w:val="00D12113"/>
    <w:rsid w:val="00D12369"/>
    <w:rsid w:val="00D1268D"/>
    <w:rsid w:val="00D127A9"/>
    <w:rsid w:val="00D1351D"/>
    <w:rsid w:val="00D1361C"/>
    <w:rsid w:val="00D1382A"/>
    <w:rsid w:val="00D1468E"/>
    <w:rsid w:val="00D14EFB"/>
    <w:rsid w:val="00D15315"/>
    <w:rsid w:val="00D15985"/>
    <w:rsid w:val="00D1636C"/>
    <w:rsid w:val="00D1757F"/>
    <w:rsid w:val="00D17D02"/>
    <w:rsid w:val="00D20270"/>
    <w:rsid w:val="00D20371"/>
    <w:rsid w:val="00D20ACB"/>
    <w:rsid w:val="00D20F84"/>
    <w:rsid w:val="00D21E92"/>
    <w:rsid w:val="00D229A0"/>
    <w:rsid w:val="00D22E7A"/>
    <w:rsid w:val="00D23080"/>
    <w:rsid w:val="00D236BF"/>
    <w:rsid w:val="00D24616"/>
    <w:rsid w:val="00D24867"/>
    <w:rsid w:val="00D25520"/>
    <w:rsid w:val="00D255EB"/>
    <w:rsid w:val="00D25740"/>
    <w:rsid w:val="00D27656"/>
    <w:rsid w:val="00D3066E"/>
    <w:rsid w:val="00D306C5"/>
    <w:rsid w:val="00D31604"/>
    <w:rsid w:val="00D31A11"/>
    <w:rsid w:val="00D31DF1"/>
    <w:rsid w:val="00D3298D"/>
    <w:rsid w:val="00D32B08"/>
    <w:rsid w:val="00D32EE0"/>
    <w:rsid w:val="00D33420"/>
    <w:rsid w:val="00D3431C"/>
    <w:rsid w:val="00D343B9"/>
    <w:rsid w:val="00D3458B"/>
    <w:rsid w:val="00D34A42"/>
    <w:rsid w:val="00D356C7"/>
    <w:rsid w:val="00D37187"/>
    <w:rsid w:val="00D376DC"/>
    <w:rsid w:val="00D37B30"/>
    <w:rsid w:val="00D402E0"/>
    <w:rsid w:val="00D4033D"/>
    <w:rsid w:val="00D405C1"/>
    <w:rsid w:val="00D42181"/>
    <w:rsid w:val="00D424AB"/>
    <w:rsid w:val="00D43C72"/>
    <w:rsid w:val="00D43F31"/>
    <w:rsid w:val="00D44310"/>
    <w:rsid w:val="00D44CBD"/>
    <w:rsid w:val="00D44ED6"/>
    <w:rsid w:val="00D450F3"/>
    <w:rsid w:val="00D458A8"/>
    <w:rsid w:val="00D45C1E"/>
    <w:rsid w:val="00D46C10"/>
    <w:rsid w:val="00D4776C"/>
    <w:rsid w:val="00D47C4F"/>
    <w:rsid w:val="00D5066F"/>
    <w:rsid w:val="00D512CD"/>
    <w:rsid w:val="00D514D7"/>
    <w:rsid w:val="00D51745"/>
    <w:rsid w:val="00D542D2"/>
    <w:rsid w:val="00D5484B"/>
    <w:rsid w:val="00D55031"/>
    <w:rsid w:val="00D56654"/>
    <w:rsid w:val="00D56709"/>
    <w:rsid w:val="00D60133"/>
    <w:rsid w:val="00D60C5E"/>
    <w:rsid w:val="00D61CF1"/>
    <w:rsid w:val="00D61D4C"/>
    <w:rsid w:val="00D61D6C"/>
    <w:rsid w:val="00D62166"/>
    <w:rsid w:val="00D6267D"/>
    <w:rsid w:val="00D62DDB"/>
    <w:rsid w:val="00D630FA"/>
    <w:rsid w:val="00D631C3"/>
    <w:rsid w:val="00D63C0B"/>
    <w:rsid w:val="00D6401C"/>
    <w:rsid w:val="00D669B3"/>
    <w:rsid w:val="00D66A0A"/>
    <w:rsid w:val="00D66EBA"/>
    <w:rsid w:val="00D67D74"/>
    <w:rsid w:val="00D7012F"/>
    <w:rsid w:val="00D71CCD"/>
    <w:rsid w:val="00D71F75"/>
    <w:rsid w:val="00D735BC"/>
    <w:rsid w:val="00D74C9A"/>
    <w:rsid w:val="00D751B4"/>
    <w:rsid w:val="00D754CC"/>
    <w:rsid w:val="00D779C1"/>
    <w:rsid w:val="00D806FE"/>
    <w:rsid w:val="00D80D6F"/>
    <w:rsid w:val="00D81773"/>
    <w:rsid w:val="00D81FCD"/>
    <w:rsid w:val="00D82C20"/>
    <w:rsid w:val="00D82F5E"/>
    <w:rsid w:val="00D82F78"/>
    <w:rsid w:val="00D85243"/>
    <w:rsid w:val="00D85BA1"/>
    <w:rsid w:val="00D86001"/>
    <w:rsid w:val="00D8619D"/>
    <w:rsid w:val="00D86EE1"/>
    <w:rsid w:val="00D87CB0"/>
    <w:rsid w:val="00D90435"/>
    <w:rsid w:val="00D90B5C"/>
    <w:rsid w:val="00D91167"/>
    <w:rsid w:val="00D9204C"/>
    <w:rsid w:val="00D930DA"/>
    <w:rsid w:val="00D9331B"/>
    <w:rsid w:val="00D94556"/>
    <w:rsid w:val="00D94D77"/>
    <w:rsid w:val="00D9657D"/>
    <w:rsid w:val="00D973E1"/>
    <w:rsid w:val="00DA05FA"/>
    <w:rsid w:val="00DA0DA9"/>
    <w:rsid w:val="00DA0DE3"/>
    <w:rsid w:val="00DA148E"/>
    <w:rsid w:val="00DA27A2"/>
    <w:rsid w:val="00DA33EA"/>
    <w:rsid w:val="00DA352E"/>
    <w:rsid w:val="00DA3657"/>
    <w:rsid w:val="00DA5348"/>
    <w:rsid w:val="00DA6831"/>
    <w:rsid w:val="00DA7333"/>
    <w:rsid w:val="00DA740D"/>
    <w:rsid w:val="00DB10FE"/>
    <w:rsid w:val="00DB23E1"/>
    <w:rsid w:val="00DB28B2"/>
    <w:rsid w:val="00DB31AF"/>
    <w:rsid w:val="00DB3BB8"/>
    <w:rsid w:val="00DB46B3"/>
    <w:rsid w:val="00DB5994"/>
    <w:rsid w:val="00DB7344"/>
    <w:rsid w:val="00DC1211"/>
    <w:rsid w:val="00DC121B"/>
    <w:rsid w:val="00DC1E48"/>
    <w:rsid w:val="00DC1F6D"/>
    <w:rsid w:val="00DC2440"/>
    <w:rsid w:val="00DC2854"/>
    <w:rsid w:val="00DC28A1"/>
    <w:rsid w:val="00DC3CC5"/>
    <w:rsid w:val="00DC3E3F"/>
    <w:rsid w:val="00DC45FB"/>
    <w:rsid w:val="00DC5BCB"/>
    <w:rsid w:val="00DC6ADF"/>
    <w:rsid w:val="00DC74FE"/>
    <w:rsid w:val="00DC78B8"/>
    <w:rsid w:val="00DD016F"/>
    <w:rsid w:val="00DD028D"/>
    <w:rsid w:val="00DD045A"/>
    <w:rsid w:val="00DD047D"/>
    <w:rsid w:val="00DD1428"/>
    <w:rsid w:val="00DD2556"/>
    <w:rsid w:val="00DD2CDE"/>
    <w:rsid w:val="00DD3327"/>
    <w:rsid w:val="00DD373C"/>
    <w:rsid w:val="00DD3BCD"/>
    <w:rsid w:val="00DD40A4"/>
    <w:rsid w:val="00DD482D"/>
    <w:rsid w:val="00DD4902"/>
    <w:rsid w:val="00DD503D"/>
    <w:rsid w:val="00DD53AA"/>
    <w:rsid w:val="00DD5D72"/>
    <w:rsid w:val="00DD6036"/>
    <w:rsid w:val="00DD6ADC"/>
    <w:rsid w:val="00DD76C7"/>
    <w:rsid w:val="00DE05E5"/>
    <w:rsid w:val="00DE0C86"/>
    <w:rsid w:val="00DE0C94"/>
    <w:rsid w:val="00DE17D1"/>
    <w:rsid w:val="00DE2431"/>
    <w:rsid w:val="00DE30F3"/>
    <w:rsid w:val="00DE3590"/>
    <w:rsid w:val="00DE3622"/>
    <w:rsid w:val="00DE3DB9"/>
    <w:rsid w:val="00DE442E"/>
    <w:rsid w:val="00DE4631"/>
    <w:rsid w:val="00DE54E8"/>
    <w:rsid w:val="00DE5806"/>
    <w:rsid w:val="00DF0651"/>
    <w:rsid w:val="00DF0818"/>
    <w:rsid w:val="00DF08A2"/>
    <w:rsid w:val="00DF0BCA"/>
    <w:rsid w:val="00DF114B"/>
    <w:rsid w:val="00DF117D"/>
    <w:rsid w:val="00DF1B81"/>
    <w:rsid w:val="00DF1F6E"/>
    <w:rsid w:val="00DF21B6"/>
    <w:rsid w:val="00DF2471"/>
    <w:rsid w:val="00DF34BB"/>
    <w:rsid w:val="00DF46CF"/>
    <w:rsid w:val="00DF56D2"/>
    <w:rsid w:val="00DF5B53"/>
    <w:rsid w:val="00DF653C"/>
    <w:rsid w:val="00DF6C0B"/>
    <w:rsid w:val="00DF6C39"/>
    <w:rsid w:val="00DF717F"/>
    <w:rsid w:val="00DF7696"/>
    <w:rsid w:val="00DF79EE"/>
    <w:rsid w:val="00E004A4"/>
    <w:rsid w:val="00E00861"/>
    <w:rsid w:val="00E011AB"/>
    <w:rsid w:val="00E01564"/>
    <w:rsid w:val="00E01A2B"/>
    <w:rsid w:val="00E024B1"/>
    <w:rsid w:val="00E028A8"/>
    <w:rsid w:val="00E03114"/>
    <w:rsid w:val="00E03B95"/>
    <w:rsid w:val="00E03C3F"/>
    <w:rsid w:val="00E04CCF"/>
    <w:rsid w:val="00E04D12"/>
    <w:rsid w:val="00E06921"/>
    <w:rsid w:val="00E06975"/>
    <w:rsid w:val="00E06A45"/>
    <w:rsid w:val="00E077E8"/>
    <w:rsid w:val="00E079A8"/>
    <w:rsid w:val="00E100FB"/>
    <w:rsid w:val="00E103AE"/>
    <w:rsid w:val="00E11010"/>
    <w:rsid w:val="00E1168A"/>
    <w:rsid w:val="00E124CB"/>
    <w:rsid w:val="00E133F7"/>
    <w:rsid w:val="00E13780"/>
    <w:rsid w:val="00E13BED"/>
    <w:rsid w:val="00E14302"/>
    <w:rsid w:val="00E1452B"/>
    <w:rsid w:val="00E153B3"/>
    <w:rsid w:val="00E15BC5"/>
    <w:rsid w:val="00E16340"/>
    <w:rsid w:val="00E1713C"/>
    <w:rsid w:val="00E175C9"/>
    <w:rsid w:val="00E20857"/>
    <w:rsid w:val="00E20BF8"/>
    <w:rsid w:val="00E21AA7"/>
    <w:rsid w:val="00E22EF7"/>
    <w:rsid w:val="00E24312"/>
    <w:rsid w:val="00E246C8"/>
    <w:rsid w:val="00E24B02"/>
    <w:rsid w:val="00E252AE"/>
    <w:rsid w:val="00E26AA3"/>
    <w:rsid w:val="00E30616"/>
    <w:rsid w:val="00E31D5F"/>
    <w:rsid w:val="00E3249B"/>
    <w:rsid w:val="00E327BB"/>
    <w:rsid w:val="00E330AF"/>
    <w:rsid w:val="00E331BD"/>
    <w:rsid w:val="00E33B6F"/>
    <w:rsid w:val="00E33D79"/>
    <w:rsid w:val="00E34967"/>
    <w:rsid w:val="00E35026"/>
    <w:rsid w:val="00E36B75"/>
    <w:rsid w:val="00E40942"/>
    <w:rsid w:val="00E4113A"/>
    <w:rsid w:val="00E411FB"/>
    <w:rsid w:val="00E43D05"/>
    <w:rsid w:val="00E43DE2"/>
    <w:rsid w:val="00E43F8F"/>
    <w:rsid w:val="00E45132"/>
    <w:rsid w:val="00E45A55"/>
    <w:rsid w:val="00E45DCB"/>
    <w:rsid w:val="00E45E40"/>
    <w:rsid w:val="00E4616E"/>
    <w:rsid w:val="00E469B2"/>
    <w:rsid w:val="00E46EDC"/>
    <w:rsid w:val="00E46FF2"/>
    <w:rsid w:val="00E476B0"/>
    <w:rsid w:val="00E47B86"/>
    <w:rsid w:val="00E5123C"/>
    <w:rsid w:val="00E51451"/>
    <w:rsid w:val="00E5236B"/>
    <w:rsid w:val="00E52AEA"/>
    <w:rsid w:val="00E52C05"/>
    <w:rsid w:val="00E536E8"/>
    <w:rsid w:val="00E539FA"/>
    <w:rsid w:val="00E53AE5"/>
    <w:rsid w:val="00E53C2F"/>
    <w:rsid w:val="00E54192"/>
    <w:rsid w:val="00E5482A"/>
    <w:rsid w:val="00E54FAC"/>
    <w:rsid w:val="00E554EA"/>
    <w:rsid w:val="00E55595"/>
    <w:rsid w:val="00E55BFB"/>
    <w:rsid w:val="00E56285"/>
    <w:rsid w:val="00E573ED"/>
    <w:rsid w:val="00E577B7"/>
    <w:rsid w:val="00E5788B"/>
    <w:rsid w:val="00E57E14"/>
    <w:rsid w:val="00E612C1"/>
    <w:rsid w:val="00E6140E"/>
    <w:rsid w:val="00E637B3"/>
    <w:rsid w:val="00E64197"/>
    <w:rsid w:val="00E64482"/>
    <w:rsid w:val="00E64B0D"/>
    <w:rsid w:val="00E65231"/>
    <w:rsid w:val="00E6557A"/>
    <w:rsid w:val="00E65A11"/>
    <w:rsid w:val="00E6632B"/>
    <w:rsid w:val="00E66388"/>
    <w:rsid w:val="00E6639C"/>
    <w:rsid w:val="00E66C32"/>
    <w:rsid w:val="00E66DAC"/>
    <w:rsid w:val="00E67372"/>
    <w:rsid w:val="00E6779E"/>
    <w:rsid w:val="00E67945"/>
    <w:rsid w:val="00E72D4A"/>
    <w:rsid w:val="00E73DFD"/>
    <w:rsid w:val="00E74103"/>
    <w:rsid w:val="00E75369"/>
    <w:rsid w:val="00E75B1F"/>
    <w:rsid w:val="00E76765"/>
    <w:rsid w:val="00E76D17"/>
    <w:rsid w:val="00E77AE1"/>
    <w:rsid w:val="00E77B5C"/>
    <w:rsid w:val="00E77FE9"/>
    <w:rsid w:val="00E8043A"/>
    <w:rsid w:val="00E81450"/>
    <w:rsid w:val="00E81643"/>
    <w:rsid w:val="00E81C7F"/>
    <w:rsid w:val="00E82A92"/>
    <w:rsid w:val="00E82AF3"/>
    <w:rsid w:val="00E836E9"/>
    <w:rsid w:val="00E8419D"/>
    <w:rsid w:val="00E8429C"/>
    <w:rsid w:val="00E8604A"/>
    <w:rsid w:val="00E861E5"/>
    <w:rsid w:val="00E871D8"/>
    <w:rsid w:val="00E9063C"/>
    <w:rsid w:val="00E90D3B"/>
    <w:rsid w:val="00E912BA"/>
    <w:rsid w:val="00E9154B"/>
    <w:rsid w:val="00E9206B"/>
    <w:rsid w:val="00E93D95"/>
    <w:rsid w:val="00E93FA2"/>
    <w:rsid w:val="00E94979"/>
    <w:rsid w:val="00E94B3F"/>
    <w:rsid w:val="00E94F2B"/>
    <w:rsid w:val="00E9564B"/>
    <w:rsid w:val="00E95C45"/>
    <w:rsid w:val="00E95D08"/>
    <w:rsid w:val="00E95FF9"/>
    <w:rsid w:val="00E96014"/>
    <w:rsid w:val="00E9617F"/>
    <w:rsid w:val="00E966DE"/>
    <w:rsid w:val="00EA198F"/>
    <w:rsid w:val="00EA20EC"/>
    <w:rsid w:val="00EA2342"/>
    <w:rsid w:val="00EA249C"/>
    <w:rsid w:val="00EA2639"/>
    <w:rsid w:val="00EA297F"/>
    <w:rsid w:val="00EA2F70"/>
    <w:rsid w:val="00EA3AB5"/>
    <w:rsid w:val="00EA40B9"/>
    <w:rsid w:val="00EA49FD"/>
    <w:rsid w:val="00EA542F"/>
    <w:rsid w:val="00EA601E"/>
    <w:rsid w:val="00EA73C2"/>
    <w:rsid w:val="00EA7955"/>
    <w:rsid w:val="00EA7D84"/>
    <w:rsid w:val="00EB00AB"/>
    <w:rsid w:val="00EB0290"/>
    <w:rsid w:val="00EB0C5B"/>
    <w:rsid w:val="00EB0E86"/>
    <w:rsid w:val="00EB23B5"/>
    <w:rsid w:val="00EB34CC"/>
    <w:rsid w:val="00EB3B0C"/>
    <w:rsid w:val="00EB3F55"/>
    <w:rsid w:val="00EB4496"/>
    <w:rsid w:val="00EB5FCF"/>
    <w:rsid w:val="00EB65A5"/>
    <w:rsid w:val="00EB6787"/>
    <w:rsid w:val="00EB6A1F"/>
    <w:rsid w:val="00EB6A93"/>
    <w:rsid w:val="00EB6CD3"/>
    <w:rsid w:val="00EB7217"/>
    <w:rsid w:val="00EB7299"/>
    <w:rsid w:val="00EB729A"/>
    <w:rsid w:val="00EC02B4"/>
    <w:rsid w:val="00EC3B49"/>
    <w:rsid w:val="00EC409B"/>
    <w:rsid w:val="00EC4611"/>
    <w:rsid w:val="00EC4AB6"/>
    <w:rsid w:val="00EC5EA8"/>
    <w:rsid w:val="00EC627B"/>
    <w:rsid w:val="00EC7C07"/>
    <w:rsid w:val="00ED1239"/>
    <w:rsid w:val="00ED177E"/>
    <w:rsid w:val="00ED1B3D"/>
    <w:rsid w:val="00ED21A2"/>
    <w:rsid w:val="00ED21C7"/>
    <w:rsid w:val="00ED273B"/>
    <w:rsid w:val="00ED377A"/>
    <w:rsid w:val="00ED4168"/>
    <w:rsid w:val="00ED4404"/>
    <w:rsid w:val="00ED4A3A"/>
    <w:rsid w:val="00ED628D"/>
    <w:rsid w:val="00ED6919"/>
    <w:rsid w:val="00ED7324"/>
    <w:rsid w:val="00ED78EF"/>
    <w:rsid w:val="00ED7A54"/>
    <w:rsid w:val="00EE0F2B"/>
    <w:rsid w:val="00EE1386"/>
    <w:rsid w:val="00EE193A"/>
    <w:rsid w:val="00EE1AF1"/>
    <w:rsid w:val="00EE2333"/>
    <w:rsid w:val="00EE2977"/>
    <w:rsid w:val="00EE2D02"/>
    <w:rsid w:val="00EE2E44"/>
    <w:rsid w:val="00EE3225"/>
    <w:rsid w:val="00EE37F5"/>
    <w:rsid w:val="00EE3945"/>
    <w:rsid w:val="00EE45CB"/>
    <w:rsid w:val="00EE4C58"/>
    <w:rsid w:val="00EE4C62"/>
    <w:rsid w:val="00EE4D89"/>
    <w:rsid w:val="00EE5B77"/>
    <w:rsid w:val="00EE5F23"/>
    <w:rsid w:val="00EE6FAC"/>
    <w:rsid w:val="00EE79A1"/>
    <w:rsid w:val="00EF0157"/>
    <w:rsid w:val="00EF03DD"/>
    <w:rsid w:val="00EF0CB7"/>
    <w:rsid w:val="00EF123B"/>
    <w:rsid w:val="00EF1390"/>
    <w:rsid w:val="00EF1C3B"/>
    <w:rsid w:val="00EF1F79"/>
    <w:rsid w:val="00EF2AEB"/>
    <w:rsid w:val="00EF341C"/>
    <w:rsid w:val="00EF3F50"/>
    <w:rsid w:val="00EF40A6"/>
    <w:rsid w:val="00EF4B3D"/>
    <w:rsid w:val="00EF4F89"/>
    <w:rsid w:val="00EF57ED"/>
    <w:rsid w:val="00EF6019"/>
    <w:rsid w:val="00EF6518"/>
    <w:rsid w:val="00F000FE"/>
    <w:rsid w:val="00F00166"/>
    <w:rsid w:val="00F00B37"/>
    <w:rsid w:val="00F01670"/>
    <w:rsid w:val="00F01B90"/>
    <w:rsid w:val="00F01F27"/>
    <w:rsid w:val="00F02555"/>
    <w:rsid w:val="00F06780"/>
    <w:rsid w:val="00F07843"/>
    <w:rsid w:val="00F07ACE"/>
    <w:rsid w:val="00F1019F"/>
    <w:rsid w:val="00F103EE"/>
    <w:rsid w:val="00F10FDF"/>
    <w:rsid w:val="00F125B3"/>
    <w:rsid w:val="00F131E1"/>
    <w:rsid w:val="00F1326C"/>
    <w:rsid w:val="00F134A5"/>
    <w:rsid w:val="00F14C24"/>
    <w:rsid w:val="00F15DB4"/>
    <w:rsid w:val="00F16EAA"/>
    <w:rsid w:val="00F20A02"/>
    <w:rsid w:val="00F20D8D"/>
    <w:rsid w:val="00F20DE9"/>
    <w:rsid w:val="00F218CE"/>
    <w:rsid w:val="00F21DA4"/>
    <w:rsid w:val="00F2254B"/>
    <w:rsid w:val="00F22D04"/>
    <w:rsid w:val="00F22DA5"/>
    <w:rsid w:val="00F2324E"/>
    <w:rsid w:val="00F23449"/>
    <w:rsid w:val="00F23820"/>
    <w:rsid w:val="00F23E5B"/>
    <w:rsid w:val="00F256B9"/>
    <w:rsid w:val="00F25A16"/>
    <w:rsid w:val="00F26C35"/>
    <w:rsid w:val="00F27214"/>
    <w:rsid w:val="00F273EF"/>
    <w:rsid w:val="00F300DC"/>
    <w:rsid w:val="00F3087D"/>
    <w:rsid w:val="00F309B6"/>
    <w:rsid w:val="00F31427"/>
    <w:rsid w:val="00F317BE"/>
    <w:rsid w:val="00F32352"/>
    <w:rsid w:val="00F32BEF"/>
    <w:rsid w:val="00F33601"/>
    <w:rsid w:val="00F33A0F"/>
    <w:rsid w:val="00F33A1A"/>
    <w:rsid w:val="00F33DD0"/>
    <w:rsid w:val="00F3450A"/>
    <w:rsid w:val="00F34A8E"/>
    <w:rsid w:val="00F34B59"/>
    <w:rsid w:val="00F34C8F"/>
    <w:rsid w:val="00F35C71"/>
    <w:rsid w:val="00F361A3"/>
    <w:rsid w:val="00F361C6"/>
    <w:rsid w:val="00F3688A"/>
    <w:rsid w:val="00F376AA"/>
    <w:rsid w:val="00F377D3"/>
    <w:rsid w:val="00F403EA"/>
    <w:rsid w:val="00F41110"/>
    <w:rsid w:val="00F41900"/>
    <w:rsid w:val="00F42320"/>
    <w:rsid w:val="00F42E55"/>
    <w:rsid w:val="00F432AF"/>
    <w:rsid w:val="00F433B7"/>
    <w:rsid w:val="00F43B51"/>
    <w:rsid w:val="00F441F0"/>
    <w:rsid w:val="00F44423"/>
    <w:rsid w:val="00F44CEB"/>
    <w:rsid w:val="00F45EFA"/>
    <w:rsid w:val="00F468AE"/>
    <w:rsid w:val="00F46AE0"/>
    <w:rsid w:val="00F46F2F"/>
    <w:rsid w:val="00F478C2"/>
    <w:rsid w:val="00F50449"/>
    <w:rsid w:val="00F50553"/>
    <w:rsid w:val="00F5076B"/>
    <w:rsid w:val="00F50E3B"/>
    <w:rsid w:val="00F53319"/>
    <w:rsid w:val="00F53464"/>
    <w:rsid w:val="00F5361D"/>
    <w:rsid w:val="00F53F73"/>
    <w:rsid w:val="00F5410B"/>
    <w:rsid w:val="00F54247"/>
    <w:rsid w:val="00F54C99"/>
    <w:rsid w:val="00F55537"/>
    <w:rsid w:val="00F558EB"/>
    <w:rsid w:val="00F559CE"/>
    <w:rsid w:val="00F55B02"/>
    <w:rsid w:val="00F55B58"/>
    <w:rsid w:val="00F55D55"/>
    <w:rsid w:val="00F5638D"/>
    <w:rsid w:val="00F56587"/>
    <w:rsid w:val="00F5662A"/>
    <w:rsid w:val="00F56908"/>
    <w:rsid w:val="00F56F76"/>
    <w:rsid w:val="00F57653"/>
    <w:rsid w:val="00F57A2E"/>
    <w:rsid w:val="00F60012"/>
    <w:rsid w:val="00F600E4"/>
    <w:rsid w:val="00F60591"/>
    <w:rsid w:val="00F61E4C"/>
    <w:rsid w:val="00F62139"/>
    <w:rsid w:val="00F6230A"/>
    <w:rsid w:val="00F628F9"/>
    <w:rsid w:val="00F62D7D"/>
    <w:rsid w:val="00F62EFE"/>
    <w:rsid w:val="00F632DF"/>
    <w:rsid w:val="00F63709"/>
    <w:rsid w:val="00F6593E"/>
    <w:rsid w:val="00F664B1"/>
    <w:rsid w:val="00F70E5F"/>
    <w:rsid w:val="00F70E9C"/>
    <w:rsid w:val="00F710AC"/>
    <w:rsid w:val="00F721FF"/>
    <w:rsid w:val="00F7396B"/>
    <w:rsid w:val="00F73C64"/>
    <w:rsid w:val="00F73E35"/>
    <w:rsid w:val="00F74832"/>
    <w:rsid w:val="00F74B00"/>
    <w:rsid w:val="00F74EBE"/>
    <w:rsid w:val="00F75D2C"/>
    <w:rsid w:val="00F761DA"/>
    <w:rsid w:val="00F76D31"/>
    <w:rsid w:val="00F76E23"/>
    <w:rsid w:val="00F76FC1"/>
    <w:rsid w:val="00F775BA"/>
    <w:rsid w:val="00F775C8"/>
    <w:rsid w:val="00F806CC"/>
    <w:rsid w:val="00F807C0"/>
    <w:rsid w:val="00F8099C"/>
    <w:rsid w:val="00F81651"/>
    <w:rsid w:val="00F82AE4"/>
    <w:rsid w:val="00F83AEB"/>
    <w:rsid w:val="00F83E0A"/>
    <w:rsid w:val="00F84A9B"/>
    <w:rsid w:val="00F854D0"/>
    <w:rsid w:val="00F85574"/>
    <w:rsid w:val="00F86483"/>
    <w:rsid w:val="00F8659D"/>
    <w:rsid w:val="00F86E9F"/>
    <w:rsid w:val="00F872AC"/>
    <w:rsid w:val="00F8735E"/>
    <w:rsid w:val="00F8762E"/>
    <w:rsid w:val="00F8778E"/>
    <w:rsid w:val="00F8789C"/>
    <w:rsid w:val="00F87CFC"/>
    <w:rsid w:val="00F87FC4"/>
    <w:rsid w:val="00F90161"/>
    <w:rsid w:val="00F90300"/>
    <w:rsid w:val="00F90897"/>
    <w:rsid w:val="00F921D3"/>
    <w:rsid w:val="00F92523"/>
    <w:rsid w:val="00F92942"/>
    <w:rsid w:val="00F9364B"/>
    <w:rsid w:val="00F9454B"/>
    <w:rsid w:val="00F94581"/>
    <w:rsid w:val="00F94C98"/>
    <w:rsid w:val="00F951BC"/>
    <w:rsid w:val="00F954FF"/>
    <w:rsid w:val="00F972BE"/>
    <w:rsid w:val="00F97432"/>
    <w:rsid w:val="00F97586"/>
    <w:rsid w:val="00FA03F4"/>
    <w:rsid w:val="00FA0868"/>
    <w:rsid w:val="00FA10CC"/>
    <w:rsid w:val="00FA25D4"/>
    <w:rsid w:val="00FA2AD2"/>
    <w:rsid w:val="00FA2E4D"/>
    <w:rsid w:val="00FA3233"/>
    <w:rsid w:val="00FA3327"/>
    <w:rsid w:val="00FA36AB"/>
    <w:rsid w:val="00FA3CC7"/>
    <w:rsid w:val="00FA3F43"/>
    <w:rsid w:val="00FA3F48"/>
    <w:rsid w:val="00FA4B6A"/>
    <w:rsid w:val="00FA504E"/>
    <w:rsid w:val="00FA518E"/>
    <w:rsid w:val="00FA521A"/>
    <w:rsid w:val="00FA5373"/>
    <w:rsid w:val="00FA54D3"/>
    <w:rsid w:val="00FA58C5"/>
    <w:rsid w:val="00FA699E"/>
    <w:rsid w:val="00FA69F7"/>
    <w:rsid w:val="00FA6B6A"/>
    <w:rsid w:val="00FA6C9C"/>
    <w:rsid w:val="00FA74E4"/>
    <w:rsid w:val="00FA7533"/>
    <w:rsid w:val="00FA7B7A"/>
    <w:rsid w:val="00FB0716"/>
    <w:rsid w:val="00FB082A"/>
    <w:rsid w:val="00FB1888"/>
    <w:rsid w:val="00FB1EBE"/>
    <w:rsid w:val="00FB3011"/>
    <w:rsid w:val="00FB35AE"/>
    <w:rsid w:val="00FB3DCE"/>
    <w:rsid w:val="00FB4E3B"/>
    <w:rsid w:val="00FB50C9"/>
    <w:rsid w:val="00FB53E7"/>
    <w:rsid w:val="00FB5B11"/>
    <w:rsid w:val="00FB5FBA"/>
    <w:rsid w:val="00FB62DA"/>
    <w:rsid w:val="00FB7052"/>
    <w:rsid w:val="00FB70E2"/>
    <w:rsid w:val="00FB731F"/>
    <w:rsid w:val="00FC078D"/>
    <w:rsid w:val="00FC0C43"/>
    <w:rsid w:val="00FC104A"/>
    <w:rsid w:val="00FC2102"/>
    <w:rsid w:val="00FC2B35"/>
    <w:rsid w:val="00FC3629"/>
    <w:rsid w:val="00FC3806"/>
    <w:rsid w:val="00FC3C00"/>
    <w:rsid w:val="00FC483B"/>
    <w:rsid w:val="00FC4894"/>
    <w:rsid w:val="00FC4968"/>
    <w:rsid w:val="00FC61C2"/>
    <w:rsid w:val="00FC7A5A"/>
    <w:rsid w:val="00FC7DE1"/>
    <w:rsid w:val="00FC7E7C"/>
    <w:rsid w:val="00FD1151"/>
    <w:rsid w:val="00FD1BD4"/>
    <w:rsid w:val="00FD2307"/>
    <w:rsid w:val="00FD29A2"/>
    <w:rsid w:val="00FD2E58"/>
    <w:rsid w:val="00FD404E"/>
    <w:rsid w:val="00FD49C0"/>
    <w:rsid w:val="00FD4F2E"/>
    <w:rsid w:val="00FD5719"/>
    <w:rsid w:val="00FD6313"/>
    <w:rsid w:val="00FD63EC"/>
    <w:rsid w:val="00FD68F0"/>
    <w:rsid w:val="00FD696F"/>
    <w:rsid w:val="00FD6A86"/>
    <w:rsid w:val="00FE0580"/>
    <w:rsid w:val="00FE0582"/>
    <w:rsid w:val="00FE1044"/>
    <w:rsid w:val="00FE1EE1"/>
    <w:rsid w:val="00FE2621"/>
    <w:rsid w:val="00FE2C00"/>
    <w:rsid w:val="00FE2F8F"/>
    <w:rsid w:val="00FE3002"/>
    <w:rsid w:val="00FE3981"/>
    <w:rsid w:val="00FE4844"/>
    <w:rsid w:val="00FE4DF9"/>
    <w:rsid w:val="00FE4F4A"/>
    <w:rsid w:val="00FE6831"/>
    <w:rsid w:val="00FE7681"/>
    <w:rsid w:val="00FE7795"/>
    <w:rsid w:val="00FE7A02"/>
    <w:rsid w:val="00FE7CC2"/>
    <w:rsid w:val="00FF02E3"/>
    <w:rsid w:val="00FF069C"/>
    <w:rsid w:val="00FF10D9"/>
    <w:rsid w:val="00FF17C1"/>
    <w:rsid w:val="00FF1882"/>
    <w:rsid w:val="00FF1F4F"/>
    <w:rsid w:val="00FF2F2C"/>
    <w:rsid w:val="00FF3023"/>
    <w:rsid w:val="00FF38B8"/>
    <w:rsid w:val="00FF3AB4"/>
    <w:rsid w:val="00FF3B5A"/>
    <w:rsid w:val="00FF3D0F"/>
    <w:rsid w:val="00FF4317"/>
    <w:rsid w:val="00FF4962"/>
    <w:rsid w:val="00FF5C03"/>
    <w:rsid w:val="00FF600C"/>
    <w:rsid w:val="00FF603F"/>
    <w:rsid w:val="00FF694B"/>
    <w:rsid w:val="00FF6E5B"/>
    <w:rsid w:val="00FF77CC"/>
    <w:rsid w:val="00FF7E6E"/>
    <w:rsid w:val="00FF7EEF"/>
    <w:rsid w:val="1E70F2CC"/>
    <w:rsid w:val="265399BB"/>
    <w:rsid w:val="477BFD9C"/>
    <w:rsid w:val="4E481D2D"/>
    <w:rsid w:val="59A5D358"/>
    <w:rsid w:val="61727A13"/>
    <w:rsid w:val="741F2CED"/>
    <w:rsid w:val="7971D091"/>
    <w:rsid w:val="7C0A1AB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F5C55"/>
  <w15:docId w15:val="{30B84934-F6B0-4AE4-9851-70A25D51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59A5D358"/>
    <w:pPr>
      <w:spacing w:line="210" w:lineRule="exact"/>
    </w:pPr>
    <w:rPr>
      <w:rFonts w:ascii="Interstate-Light" w:hAnsi="Interstate-Light"/>
      <w:sz w:val="18"/>
      <w:szCs w:val="18"/>
      <w:lang w:val="cs-CZ"/>
    </w:rPr>
  </w:style>
  <w:style w:type="paragraph" w:styleId="Nadpis1">
    <w:name w:val="heading 1"/>
    <w:basedOn w:val="Normln"/>
    <w:next w:val="Normln"/>
    <w:uiPriority w:val="1"/>
    <w:qFormat/>
    <w:rsid w:val="59A5D358"/>
    <w:pPr>
      <w:keepNext/>
      <w:outlineLvl w:val="0"/>
    </w:pPr>
    <w:rPr>
      <w:rFonts w:ascii="Interstate-Bold" w:hAnsi="Interstate-Bold" w:cs="Arial"/>
    </w:rPr>
  </w:style>
  <w:style w:type="paragraph" w:styleId="Nadpis2">
    <w:name w:val="heading 2"/>
    <w:basedOn w:val="Normln"/>
    <w:next w:val="Normln"/>
    <w:uiPriority w:val="1"/>
    <w:qFormat/>
    <w:rsid w:val="59A5D358"/>
    <w:pPr>
      <w:keepNext/>
      <w:spacing w:before="240" w:after="60"/>
      <w:outlineLvl w:val="1"/>
    </w:pPr>
    <w:rPr>
      <w:rFonts w:ascii="Times New Roman" w:hAnsi="Times New Roman" w:cs="Arial"/>
      <w:b/>
      <w:bCs/>
      <w:sz w:val="48"/>
      <w:szCs w:val="48"/>
    </w:rPr>
  </w:style>
  <w:style w:type="paragraph" w:styleId="Nadpis3">
    <w:name w:val="heading 3"/>
    <w:basedOn w:val="Normln"/>
    <w:next w:val="Normln"/>
    <w:uiPriority w:val="1"/>
    <w:qFormat/>
    <w:rsid w:val="59A5D358"/>
    <w:pPr>
      <w:keepNext/>
      <w:spacing w:before="240" w:after="60"/>
      <w:outlineLvl w:val="2"/>
    </w:pPr>
    <w:rPr>
      <w:rFonts w:ascii="Times New Roman" w:hAnsi="Times New Roman" w:cs="Arial"/>
      <w:b/>
      <w:bCs/>
      <w:sz w:val="40"/>
      <w:szCs w:val="40"/>
    </w:rPr>
  </w:style>
  <w:style w:type="paragraph" w:styleId="Nadpis4">
    <w:name w:val="heading 4"/>
    <w:basedOn w:val="Normln"/>
    <w:next w:val="Normln"/>
    <w:link w:val="Nadpis4Char"/>
    <w:uiPriority w:val="9"/>
    <w:unhideWhenUsed/>
    <w:qFormat/>
    <w:rsid w:val="59A5D358"/>
    <w:pPr>
      <w:keepNext/>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unhideWhenUsed/>
    <w:qFormat/>
    <w:rsid w:val="59A5D358"/>
    <w:pPr>
      <w:keepNext/>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unhideWhenUsed/>
    <w:qFormat/>
    <w:rsid w:val="59A5D358"/>
    <w:pPr>
      <w:keepNext/>
      <w:spacing w:before="40"/>
      <w:outlineLvl w:val="5"/>
    </w:pPr>
    <w:rPr>
      <w:rFonts w:asciiTheme="majorHAnsi" w:eastAsiaTheme="majorEastAsia" w:hAnsiTheme="majorHAnsi" w:cstheme="majorBidi"/>
      <w:color w:val="243F60"/>
    </w:rPr>
  </w:style>
  <w:style w:type="paragraph" w:styleId="Nadpis7">
    <w:name w:val="heading 7"/>
    <w:basedOn w:val="Normln"/>
    <w:next w:val="Normln"/>
    <w:link w:val="Nadpis7Char"/>
    <w:uiPriority w:val="9"/>
    <w:unhideWhenUsed/>
    <w:qFormat/>
    <w:rsid w:val="59A5D358"/>
    <w:pPr>
      <w:keepNext/>
      <w:spacing w:before="40"/>
      <w:outlineLvl w:val="6"/>
    </w:pPr>
    <w:rPr>
      <w:rFonts w:asciiTheme="majorHAnsi" w:eastAsiaTheme="majorEastAsia" w:hAnsiTheme="majorHAnsi" w:cstheme="majorBidi"/>
      <w:i/>
      <w:iCs/>
      <w:color w:val="243F60"/>
    </w:rPr>
  </w:style>
  <w:style w:type="paragraph" w:styleId="Nadpis8">
    <w:name w:val="heading 8"/>
    <w:basedOn w:val="Normln"/>
    <w:next w:val="Normln"/>
    <w:link w:val="Nadpis8Char"/>
    <w:uiPriority w:val="9"/>
    <w:unhideWhenUsed/>
    <w:qFormat/>
    <w:rsid w:val="59A5D358"/>
    <w:pPr>
      <w:keepNext/>
      <w:spacing w:before="40"/>
      <w:outlineLvl w:val="7"/>
    </w:pPr>
    <w:rPr>
      <w:rFonts w:asciiTheme="majorHAnsi" w:eastAsiaTheme="majorEastAsia" w:hAnsiTheme="majorHAnsi" w:cstheme="majorBidi"/>
      <w:color w:val="272727"/>
      <w:sz w:val="21"/>
      <w:szCs w:val="21"/>
    </w:rPr>
  </w:style>
  <w:style w:type="paragraph" w:styleId="Nadpis9">
    <w:name w:val="heading 9"/>
    <w:basedOn w:val="Normln"/>
    <w:next w:val="Normln"/>
    <w:link w:val="Nadpis9Char"/>
    <w:uiPriority w:val="9"/>
    <w:unhideWhenUsed/>
    <w:qFormat/>
    <w:rsid w:val="59A5D358"/>
    <w:pPr>
      <w:keepNext/>
      <w:spacing w:before="40"/>
      <w:outlineLvl w:val="8"/>
    </w:pPr>
    <w:rPr>
      <w:rFonts w:asciiTheme="majorHAnsi" w:eastAsiaTheme="majorEastAsia" w:hAnsiTheme="majorHAnsi" w:cstheme="majorBidi"/>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uiPriority w:val="1"/>
    <w:rsid w:val="59A5D358"/>
    <w:pPr>
      <w:tabs>
        <w:tab w:val="center" w:pos="4536"/>
        <w:tab w:val="right" w:pos="9072"/>
      </w:tabs>
    </w:pPr>
  </w:style>
  <w:style w:type="paragraph" w:styleId="Zpat">
    <w:name w:val="footer"/>
    <w:basedOn w:val="Normln"/>
    <w:uiPriority w:val="1"/>
    <w:rsid w:val="59A5D358"/>
    <w:pPr>
      <w:tabs>
        <w:tab w:val="center" w:pos="4536"/>
        <w:tab w:val="right" w:pos="9072"/>
      </w:tabs>
    </w:pPr>
  </w:style>
  <w:style w:type="paragraph" w:customStyle="1" w:styleId="Sub-Headline9pt">
    <w:name w:val="Sub-Headline 9pt"/>
    <w:basedOn w:val="Sub-Headline9ptwithoutline"/>
    <w:uiPriority w:val="1"/>
    <w:rsid w:val="59A5D358"/>
  </w:style>
  <w:style w:type="paragraph" w:customStyle="1" w:styleId="Footnote">
    <w:name w:val="Footnote"/>
    <w:basedOn w:val="Normln"/>
    <w:next w:val="Normln"/>
    <w:uiPriority w:val="1"/>
    <w:rsid w:val="59A5D358"/>
    <w:rPr>
      <w:color w:val="000000" w:themeColor="text1"/>
      <w:sz w:val="14"/>
      <w:szCs w:val="14"/>
    </w:rPr>
  </w:style>
  <w:style w:type="paragraph" w:customStyle="1" w:styleId="Table">
    <w:name w:val="Table"/>
    <w:basedOn w:val="Normln"/>
    <w:uiPriority w:val="1"/>
    <w:rsid w:val="59A5D358"/>
    <w:pPr>
      <w:spacing w:before="20" w:after="20"/>
      <w:ind w:left="57"/>
    </w:pPr>
    <w:rPr>
      <w:rFonts w:cs="Arial"/>
    </w:rPr>
  </w:style>
  <w:style w:type="table" w:styleId="Mkatabulky">
    <w:name w:val="Table Grid"/>
    <w:basedOn w:val="Normlntabulka"/>
    <w:rsid w:val="003878E1"/>
    <w:pPr>
      <w:spacing w:line="21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FormatvorlageAufgezhlt">
    <w:name w:val="Formatvorlage Aufgezählt"/>
    <w:basedOn w:val="Bezseznamu"/>
    <w:rsid w:val="002B5B06"/>
    <w:pPr>
      <w:numPr>
        <w:numId w:val="4"/>
      </w:numPr>
    </w:pPr>
  </w:style>
  <w:style w:type="paragraph" w:styleId="Zkladntext">
    <w:name w:val="Body Text"/>
    <w:basedOn w:val="Normln"/>
    <w:link w:val="ZkladntextChar"/>
    <w:uiPriority w:val="1"/>
    <w:rsid w:val="59A5D358"/>
    <w:pPr>
      <w:spacing w:line="360" w:lineRule="auto"/>
    </w:pPr>
    <w:rPr>
      <w:rFonts w:ascii="Courier New" w:hAnsi="Courier New"/>
      <w:sz w:val="24"/>
      <w:szCs w:val="24"/>
    </w:rPr>
  </w:style>
  <w:style w:type="paragraph" w:customStyle="1" w:styleId="Sub-Headline9ptunder-lined">
    <w:name w:val="Sub-Headline 9pt under-lined"/>
    <w:basedOn w:val="Normln"/>
    <w:uiPriority w:val="1"/>
    <w:rsid w:val="59A5D358"/>
    <w:rPr>
      <w:u w:val="single"/>
    </w:rPr>
  </w:style>
  <w:style w:type="paragraph" w:customStyle="1" w:styleId="Sub-Headline11">
    <w:name w:val="Sub-Headline 11"/>
    <w:basedOn w:val="Nadpis1"/>
    <w:uiPriority w:val="1"/>
    <w:rsid w:val="59A5D358"/>
    <w:pPr>
      <w:spacing w:line="360" w:lineRule="auto"/>
    </w:pPr>
    <w:rPr>
      <w:rFonts w:eastAsia="MS Mincho" w:cs="Times New Roman"/>
      <w:sz w:val="22"/>
      <w:szCs w:val="22"/>
      <w:lang w:eastAsia="ja-JP" w:bidi="hi-IN"/>
    </w:rPr>
  </w:style>
  <w:style w:type="paragraph" w:customStyle="1" w:styleId="Sub-Headline9ptwithoutline">
    <w:name w:val="Sub-Headline 9pt without line"/>
    <w:basedOn w:val="Normln"/>
    <w:uiPriority w:val="1"/>
    <w:rsid w:val="59A5D358"/>
    <w:rPr>
      <w:rFonts w:ascii="Interstate-Bold" w:hAnsi="Interstate-Bold"/>
    </w:rPr>
  </w:style>
  <w:style w:type="paragraph" w:styleId="FormtovanvHTML">
    <w:name w:val="HTML Preformatted"/>
    <w:basedOn w:val="Normln"/>
    <w:uiPriority w:val="1"/>
    <w:rsid w:val="59A5D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MS Mincho" w:hAnsi="Courier New" w:cs="Courier New"/>
      <w:sz w:val="20"/>
      <w:szCs w:val="20"/>
      <w:lang w:eastAsia="ja-JP"/>
    </w:rPr>
  </w:style>
  <w:style w:type="paragraph" w:styleId="Textbubliny">
    <w:name w:val="Balloon Text"/>
    <w:basedOn w:val="Normln"/>
    <w:uiPriority w:val="1"/>
    <w:semiHidden/>
    <w:rsid w:val="59A5D358"/>
    <w:rPr>
      <w:rFonts w:ascii="Tahoma" w:hAnsi="Tahoma" w:cs="Tahoma"/>
      <w:sz w:val="16"/>
      <w:szCs w:val="16"/>
    </w:rPr>
  </w:style>
  <w:style w:type="paragraph" w:styleId="Normlnweb">
    <w:name w:val="Normal (Web)"/>
    <w:basedOn w:val="Normln"/>
    <w:uiPriority w:val="99"/>
    <w:rsid w:val="59A5D358"/>
    <w:pPr>
      <w:spacing w:beforeAutospacing="1" w:afterAutospacing="1" w:line="240" w:lineRule="auto"/>
    </w:pPr>
    <w:rPr>
      <w:rFonts w:ascii="Times New Roman" w:eastAsia="MS Mincho" w:hAnsi="Times New Roman"/>
      <w:sz w:val="24"/>
      <w:szCs w:val="24"/>
      <w:lang w:eastAsia="ja-JP"/>
    </w:rPr>
  </w:style>
  <w:style w:type="paragraph" w:styleId="Rozloendokumentu">
    <w:name w:val="Document Map"/>
    <w:basedOn w:val="Normln"/>
    <w:uiPriority w:val="1"/>
    <w:semiHidden/>
    <w:rsid w:val="59A5D358"/>
    <w:rPr>
      <w:rFonts w:ascii="Tahoma" w:hAnsi="Tahoma" w:cs="Tahoma"/>
      <w:sz w:val="20"/>
      <w:szCs w:val="20"/>
    </w:rPr>
  </w:style>
  <w:style w:type="paragraph" w:styleId="Textpoznpodarou">
    <w:name w:val="footnote text"/>
    <w:basedOn w:val="Normln"/>
    <w:link w:val="TextpoznpodarouChar"/>
    <w:uiPriority w:val="99"/>
    <w:rsid w:val="59A5D358"/>
    <w:rPr>
      <w:sz w:val="20"/>
      <w:szCs w:val="20"/>
    </w:rPr>
  </w:style>
  <w:style w:type="character" w:styleId="Znakapoznpodarou">
    <w:name w:val="footnote reference"/>
    <w:uiPriority w:val="99"/>
    <w:rsid w:val="00E64197"/>
    <w:rPr>
      <w:vertAlign w:val="superscript"/>
    </w:rPr>
  </w:style>
  <w:style w:type="character" w:styleId="Odkaznakoment">
    <w:name w:val="annotation reference"/>
    <w:semiHidden/>
    <w:rsid w:val="00E330AF"/>
    <w:rPr>
      <w:sz w:val="16"/>
      <w:szCs w:val="16"/>
    </w:rPr>
  </w:style>
  <w:style w:type="paragraph" w:styleId="Textkomente">
    <w:name w:val="annotation text"/>
    <w:basedOn w:val="Normln"/>
    <w:uiPriority w:val="1"/>
    <w:semiHidden/>
    <w:rsid w:val="59A5D358"/>
    <w:rPr>
      <w:sz w:val="20"/>
      <w:szCs w:val="20"/>
    </w:rPr>
  </w:style>
  <w:style w:type="paragraph" w:styleId="Pedmtkomente">
    <w:name w:val="annotation subject"/>
    <w:basedOn w:val="Textkomente"/>
    <w:next w:val="Textkomente"/>
    <w:uiPriority w:val="1"/>
    <w:semiHidden/>
    <w:rsid w:val="59A5D358"/>
    <w:rPr>
      <w:b/>
      <w:bCs/>
    </w:rPr>
  </w:style>
  <w:style w:type="character" w:styleId="Sledovanodkaz">
    <w:name w:val="FollowedHyperlink"/>
    <w:rsid w:val="00CD4F67"/>
    <w:rPr>
      <w:color w:val="800080"/>
      <w:u w:val="single"/>
    </w:rPr>
  </w:style>
  <w:style w:type="character" w:customStyle="1" w:styleId="TextpoznpodarouChar">
    <w:name w:val="Text pozn. pod čarou Char"/>
    <w:link w:val="Textpoznpodarou"/>
    <w:uiPriority w:val="99"/>
    <w:rsid w:val="59A5D358"/>
    <w:rPr>
      <w:rFonts w:ascii="Interstate-Light" w:hAnsi="Interstate-Light"/>
      <w:noProof w:val="0"/>
      <w:lang w:val="cs-CZ"/>
    </w:rPr>
  </w:style>
  <w:style w:type="character" w:customStyle="1" w:styleId="ZkladntextChar">
    <w:name w:val="Základní text Char"/>
    <w:link w:val="Zkladntext"/>
    <w:uiPriority w:val="1"/>
    <w:rsid w:val="59A5D358"/>
    <w:rPr>
      <w:rFonts w:ascii="Courier New" w:hAnsi="Courier New"/>
      <w:noProof w:val="0"/>
      <w:sz w:val="24"/>
      <w:szCs w:val="24"/>
      <w:lang w:val="cs-CZ"/>
    </w:rPr>
  </w:style>
  <w:style w:type="paragraph" w:styleId="Odstavecseseznamem">
    <w:name w:val="List Paragraph"/>
    <w:basedOn w:val="Normln"/>
    <w:uiPriority w:val="34"/>
    <w:qFormat/>
    <w:rsid w:val="59A5D358"/>
    <w:pPr>
      <w:spacing w:line="240" w:lineRule="auto"/>
      <w:ind w:left="720"/>
    </w:pPr>
    <w:rPr>
      <w:rFonts w:ascii="Calibri" w:eastAsiaTheme="minorEastAsia" w:hAnsi="Calibri"/>
      <w:sz w:val="22"/>
      <w:szCs w:val="22"/>
    </w:rPr>
  </w:style>
  <w:style w:type="character" w:customStyle="1" w:styleId="apple-converted-space">
    <w:name w:val="apple-converted-space"/>
    <w:basedOn w:val="Standardnpsmoodstavce"/>
    <w:rsid w:val="00F00166"/>
  </w:style>
  <w:style w:type="paragraph" w:styleId="Revize">
    <w:name w:val="Revision"/>
    <w:hidden/>
    <w:uiPriority w:val="99"/>
    <w:semiHidden/>
    <w:rsid w:val="00A04BAE"/>
    <w:rPr>
      <w:rFonts w:ascii="Interstate-Light" w:hAnsi="Interstate-Light"/>
      <w:spacing w:val="-2"/>
      <w:sz w:val="18"/>
      <w:szCs w:val="24"/>
    </w:rPr>
  </w:style>
  <w:style w:type="character" w:styleId="Hypertextovodkaz">
    <w:name w:val="Hyperlink"/>
    <w:uiPriority w:val="99"/>
    <w:rsid w:val="00346D43"/>
    <w:rPr>
      <w:color w:val="0000FF"/>
      <w:u w:val="single"/>
    </w:rPr>
  </w:style>
  <w:style w:type="paragraph" w:customStyle="1" w:styleId="NoList1">
    <w:name w:val="No List1"/>
    <w:basedOn w:val="Normln"/>
    <w:uiPriority w:val="1"/>
    <w:rsid w:val="59A5D358"/>
    <w:pPr>
      <w:spacing w:line="240" w:lineRule="auto"/>
    </w:pPr>
    <w:rPr>
      <w:rFonts w:ascii="Palatino Linotype" w:eastAsia="Calibri" w:hAnsi="Palatino Linotype"/>
      <w:sz w:val="20"/>
      <w:szCs w:val="20"/>
      <w:lang w:eastAsia="en-GB"/>
    </w:rPr>
  </w:style>
  <w:style w:type="paragraph" w:customStyle="1" w:styleId="Default">
    <w:name w:val="Default"/>
    <w:rsid w:val="00860260"/>
    <w:pPr>
      <w:autoSpaceDE w:val="0"/>
      <w:autoSpaceDN w:val="0"/>
      <w:adjustRightInd w:val="0"/>
    </w:pPr>
    <w:rPr>
      <w:rFonts w:ascii="Invesco Interstate Light" w:eastAsiaTheme="minorHAnsi" w:hAnsi="Invesco Interstate Light" w:cs="Invesco Interstate Light"/>
      <w:color w:val="000000"/>
      <w:sz w:val="24"/>
      <w:szCs w:val="24"/>
      <w:lang w:eastAsia="en-US"/>
    </w:rPr>
  </w:style>
  <w:style w:type="character" w:customStyle="1" w:styleId="Bodybold">
    <w:name w:val="Body bold"/>
    <w:basedOn w:val="Standardnpsmoodstavce"/>
    <w:qFormat/>
    <w:rsid w:val="004545D9"/>
    <w:rPr>
      <w:b/>
      <w:bCs/>
    </w:rPr>
  </w:style>
  <w:style w:type="character" w:styleId="Siln">
    <w:name w:val="Strong"/>
    <w:basedOn w:val="Standardnpsmoodstavce"/>
    <w:uiPriority w:val="22"/>
    <w:qFormat/>
    <w:rsid w:val="00011256"/>
    <w:rPr>
      <w:b/>
      <w:bCs/>
    </w:rPr>
  </w:style>
  <w:style w:type="character" w:customStyle="1" w:styleId="A8">
    <w:name w:val="A8"/>
    <w:uiPriority w:val="99"/>
    <w:rsid w:val="004A4A38"/>
    <w:rPr>
      <w:rFonts w:cs="Invesco Interstate Light"/>
      <w:color w:val="211D1E"/>
      <w:sz w:val="18"/>
      <w:szCs w:val="18"/>
    </w:rPr>
  </w:style>
  <w:style w:type="paragraph" w:styleId="Nzev">
    <w:name w:val="Title"/>
    <w:basedOn w:val="Normln"/>
    <w:next w:val="Normln"/>
    <w:link w:val="NzevChar"/>
    <w:uiPriority w:val="10"/>
    <w:qFormat/>
    <w:rsid w:val="59A5D358"/>
    <w:pPr>
      <w:spacing w:line="240" w:lineRule="auto"/>
      <w:contextualSpacing/>
    </w:pPr>
    <w:rPr>
      <w:rFonts w:asciiTheme="majorHAnsi" w:eastAsiaTheme="majorEastAsia" w:hAnsiTheme="majorHAnsi" w:cstheme="majorBidi"/>
      <w:sz w:val="56"/>
      <w:szCs w:val="56"/>
    </w:rPr>
  </w:style>
  <w:style w:type="paragraph" w:styleId="Podnadpis">
    <w:name w:val="Subtitle"/>
    <w:basedOn w:val="Normln"/>
    <w:next w:val="Normln"/>
    <w:link w:val="PodnadpisChar"/>
    <w:uiPriority w:val="11"/>
    <w:qFormat/>
    <w:rsid w:val="59A5D358"/>
    <w:rPr>
      <w:rFonts w:eastAsiaTheme="minorEastAsia"/>
      <w:color w:val="5A5A5A"/>
    </w:rPr>
  </w:style>
  <w:style w:type="paragraph" w:styleId="Citt">
    <w:name w:val="Quote"/>
    <w:basedOn w:val="Normln"/>
    <w:next w:val="Normln"/>
    <w:link w:val="CittChar"/>
    <w:uiPriority w:val="29"/>
    <w:qFormat/>
    <w:rsid w:val="59A5D358"/>
    <w:pPr>
      <w:spacing w:before="200"/>
      <w:ind w:left="864" w:right="864"/>
      <w:jc w:val="center"/>
    </w:pPr>
    <w:rPr>
      <w:i/>
      <w:iCs/>
      <w:color w:val="404040" w:themeColor="text1" w:themeTint="BF"/>
    </w:rPr>
  </w:style>
  <w:style w:type="paragraph" w:styleId="Vrazncitt">
    <w:name w:val="Intense Quote"/>
    <w:basedOn w:val="Normln"/>
    <w:next w:val="Normln"/>
    <w:link w:val="VrazncittChar"/>
    <w:uiPriority w:val="30"/>
    <w:qFormat/>
    <w:rsid w:val="59A5D358"/>
    <w:pPr>
      <w:spacing w:before="360" w:after="360"/>
      <w:ind w:left="864" w:right="864"/>
      <w:jc w:val="center"/>
    </w:pPr>
    <w:rPr>
      <w:i/>
      <w:iCs/>
      <w:color w:val="4F81BD" w:themeColor="accent1"/>
    </w:rPr>
  </w:style>
  <w:style w:type="character" w:customStyle="1" w:styleId="Nadpis4Char">
    <w:name w:val="Nadpis 4 Char"/>
    <w:basedOn w:val="Standardnpsmoodstavce"/>
    <w:link w:val="Nadpis4"/>
    <w:uiPriority w:val="9"/>
    <w:rsid w:val="59A5D358"/>
    <w:rPr>
      <w:rFonts w:asciiTheme="majorHAnsi" w:eastAsiaTheme="majorEastAsia" w:hAnsiTheme="majorHAnsi" w:cstheme="majorBidi"/>
      <w:i/>
      <w:iCs/>
      <w:noProof w:val="0"/>
      <w:color w:val="365F91" w:themeColor="accent1" w:themeShade="BF"/>
      <w:lang w:val="cs-CZ"/>
    </w:rPr>
  </w:style>
  <w:style w:type="character" w:customStyle="1" w:styleId="Nadpis5Char">
    <w:name w:val="Nadpis 5 Char"/>
    <w:basedOn w:val="Standardnpsmoodstavce"/>
    <w:link w:val="Nadpis5"/>
    <w:uiPriority w:val="9"/>
    <w:rsid w:val="59A5D358"/>
    <w:rPr>
      <w:rFonts w:asciiTheme="majorHAnsi" w:eastAsiaTheme="majorEastAsia" w:hAnsiTheme="majorHAnsi" w:cstheme="majorBidi"/>
      <w:noProof w:val="0"/>
      <w:color w:val="365F91" w:themeColor="accent1" w:themeShade="BF"/>
      <w:lang w:val="cs-CZ"/>
    </w:rPr>
  </w:style>
  <w:style w:type="character" w:customStyle="1" w:styleId="Nadpis6Char">
    <w:name w:val="Nadpis 6 Char"/>
    <w:basedOn w:val="Standardnpsmoodstavce"/>
    <w:link w:val="Nadpis6"/>
    <w:uiPriority w:val="9"/>
    <w:rsid w:val="59A5D358"/>
    <w:rPr>
      <w:rFonts w:asciiTheme="majorHAnsi" w:eastAsiaTheme="majorEastAsia" w:hAnsiTheme="majorHAnsi" w:cstheme="majorBidi"/>
      <w:noProof w:val="0"/>
      <w:color w:val="243F60"/>
      <w:lang w:val="cs-CZ"/>
    </w:rPr>
  </w:style>
  <w:style w:type="character" w:customStyle="1" w:styleId="Nadpis7Char">
    <w:name w:val="Nadpis 7 Char"/>
    <w:basedOn w:val="Standardnpsmoodstavce"/>
    <w:link w:val="Nadpis7"/>
    <w:uiPriority w:val="9"/>
    <w:rsid w:val="59A5D358"/>
    <w:rPr>
      <w:rFonts w:asciiTheme="majorHAnsi" w:eastAsiaTheme="majorEastAsia" w:hAnsiTheme="majorHAnsi" w:cstheme="majorBidi"/>
      <w:i/>
      <w:iCs/>
      <w:noProof w:val="0"/>
      <w:color w:val="243F60"/>
      <w:lang w:val="cs-CZ"/>
    </w:rPr>
  </w:style>
  <w:style w:type="character" w:customStyle="1" w:styleId="Nadpis8Char">
    <w:name w:val="Nadpis 8 Char"/>
    <w:basedOn w:val="Standardnpsmoodstavce"/>
    <w:link w:val="Nadpis8"/>
    <w:uiPriority w:val="9"/>
    <w:rsid w:val="59A5D358"/>
    <w:rPr>
      <w:rFonts w:asciiTheme="majorHAnsi" w:eastAsiaTheme="majorEastAsia" w:hAnsiTheme="majorHAnsi" w:cstheme="majorBidi"/>
      <w:noProof w:val="0"/>
      <w:color w:val="272727"/>
      <w:sz w:val="21"/>
      <w:szCs w:val="21"/>
      <w:lang w:val="cs-CZ"/>
    </w:rPr>
  </w:style>
  <w:style w:type="character" w:customStyle="1" w:styleId="Nadpis9Char">
    <w:name w:val="Nadpis 9 Char"/>
    <w:basedOn w:val="Standardnpsmoodstavce"/>
    <w:link w:val="Nadpis9"/>
    <w:uiPriority w:val="9"/>
    <w:rsid w:val="59A5D358"/>
    <w:rPr>
      <w:rFonts w:asciiTheme="majorHAnsi" w:eastAsiaTheme="majorEastAsia" w:hAnsiTheme="majorHAnsi" w:cstheme="majorBidi"/>
      <w:i/>
      <w:iCs/>
      <w:noProof w:val="0"/>
      <w:color w:val="272727"/>
      <w:sz w:val="21"/>
      <w:szCs w:val="21"/>
      <w:lang w:val="cs-CZ"/>
    </w:rPr>
  </w:style>
  <w:style w:type="character" w:customStyle="1" w:styleId="NzevChar">
    <w:name w:val="Název Char"/>
    <w:basedOn w:val="Standardnpsmoodstavce"/>
    <w:link w:val="Nzev"/>
    <w:uiPriority w:val="10"/>
    <w:rsid w:val="59A5D358"/>
    <w:rPr>
      <w:rFonts w:asciiTheme="majorHAnsi" w:eastAsiaTheme="majorEastAsia" w:hAnsiTheme="majorHAnsi" w:cstheme="majorBidi"/>
      <w:noProof w:val="0"/>
      <w:sz w:val="56"/>
      <w:szCs w:val="56"/>
      <w:lang w:val="cs-CZ"/>
    </w:rPr>
  </w:style>
  <w:style w:type="character" w:customStyle="1" w:styleId="PodnadpisChar">
    <w:name w:val="Podnadpis Char"/>
    <w:basedOn w:val="Standardnpsmoodstavce"/>
    <w:link w:val="Podnadpis"/>
    <w:uiPriority w:val="11"/>
    <w:rsid w:val="59A5D358"/>
    <w:rPr>
      <w:rFonts w:ascii="Times New Roman" w:eastAsiaTheme="minorEastAsia" w:hAnsi="Times New Roman" w:cs="Times New Roman"/>
      <w:noProof w:val="0"/>
      <w:color w:val="5A5A5A"/>
      <w:lang w:val="cs-CZ"/>
    </w:rPr>
  </w:style>
  <w:style w:type="character" w:customStyle="1" w:styleId="CittChar">
    <w:name w:val="Citát Char"/>
    <w:basedOn w:val="Standardnpsmoodstavce"/>
    <w:link w:val="Citt"/>
    <w:uiPriority w:val="29"/>
    <w:rsid w:val="59A5D358"/>
    <w:rPr>
      <w:i/>
      <w:iCs/>
      <w:noProof w:val="0"/>
      <w:color w:val="404040" w:themeColor="text1" w:themeTint="BF"/>
      <w:lang w:val="cs-CZ"/>
    </w:rPr>
  </w:style>
  <w:style w:type="character" w:customStyle="1" w:styleId="VrazncittChar">
    <w:name w:val="Výrazný citát Char"/>
    <w:basedOn w:val="Standardnpsmoodstavce"/>
    <w:link w:val="Vrazncitt"/>
    <w:uiPriority w:val="30"/>
    <w:rsid w:val="59A5D358"/>
    <w:rPr>
      <w:i/>
      <w:iCs/>
      <w:noProof w:val="0"/>
      <w:color w:val="4F81BD" w:themeColor="accent1"/>
      <w:lang w:val="cs-CZ"/>
    </w:rPr>
  </w:style>
  <w:style w:type="paragraph" w:styleId="Obsah1">
    <w:name w:val="toc 1"/>
    <w:basedOn w:val="Normln"/>
    <w:next w:val="Normln"/>
    <w:uiPriority w:val="39"/>
    <w:unhideWhenUsed/>
    <w:rsid w:val="59A5D358"/>
    <w:pPr>
      <w:spacing w:after="100"/>
    </w:pPr>
  </w:style>
  <w:style w:type="paragraph" w:styleId="Obsah2">
    <w:name w:val="toc 2"/>
    <w:basedOn w:val="Normln"/>
    <w:next w:val="Normln"/>
    <w:uiPriority w:val="39"/>
    <w:unhideWhenUsed/>
    <w:rsid w:val="59A5D358"/>
    <w:pPr>
      <w:spacing w:after="100"/>
      <w:ind w:left="220"/>
    </w:pPr>
  </w:style>
  <w:style w:type="paragraph" w:styleId="Obsah3">
    <w:name w:val="toc 3"/>
    <w:basedOn w:val="Normln"/>
    <w:next w:val="Normln"/>
    <w:uiPriority w:val="39"/>
    <w:unhideWhenUsed/>
    <w:rsid w:val="59A5D358"/>
    <w:pPr>
      <w:spacing w:after="100"/>
      <w:ind w:left="440"/>
    </w:pPr>
  </w:style>
  <w:style w:type="paragraph" w:styleId="Obsah4">
    <w:name w:val="toc 4"/>
    <w:basedOn w:val="Normln"/>
    <w:next w:val="Normln"/>
    <w:uiPriority w:val="39"/>
    <w:unhideWhenUsed/>
    <w:rsid w:val="59A5D358"/>
    <w:pPr>
      <w:spacing w:after="100"/>
      <w:ind w:left="660"/>
    </w:pPr>
  </w:style>
  <w:style w:type="paragraph" w:styleId="Obsah5">
    <w:name w:val="toc 5"/>
    <w:basedOn w:val="Normln"/>
    <w:next w:val="Normln"/>
    <w:uiPriority w:val="39"/>
    <w:unhideWhenUsed/>
    <w:rsid w:val="59A5D358"/>
    <w:pPr>
      <w:spacing w:after="100"/>
      <w:ind w:left="880"/>
    </w:pPr>
  </w:style>
  <w:style w:type="paragraph" w:styleId="Obsah6">
    <w:name w:val="toc 6"/>
    <w:basedOn w:val="Normln"/>
    <w:next w:val="Normln"/>
    <w:uiPriority w:val="39"/>
    <w:unhideWhenUsed/>
    <w:rsid w:val="59A5D358"/>
    <w:pPr>
      <w:spacing w:after="100"/>
      <w:ind w:left="1100"/>
    </w:pPr>
  </w:style>
  <w:style w:type="paragraph" w:styleId="Obsah7">
    <w:name w:val="toc 7"/>
    <w:basedOn w:val="Normln"/>
    <w:next w:val="Normln"/>
    <w:uiPriority w:val="39"/>
    <w:unhideWhenUsed/>
    <w:rsid w:val="59A5D358"/>
    <w:pPr>
      <w:spacing w:after="100"/>
      <w:ind w:left="1320"/>
    </w:pPr>
  </w:style>
  <w:style w:type="paragraph" w:styleId="Obsah8">
    <w:name w:val="toc 8"/>
    <w:basedOn w:val="Normln"/>
    <w:next w:val="Normln"/>
    <w:uiPriority w:val="39"/>
    <w:unhideWhenUsed/>
    <w:rsid w:val="59A5D358"/>
    <w:pPr>
      <w:spacing w:after="100"/>
      <w:ind w:left="1540"/>
    </w:pPr>
  </w:style>
  <w:style w:type="paragraph" w:styleId="Obsah9">
    <w:name w:val="toc 9"/>
    <w:basedOn w:val="Normln"/>
    <w:next w:val="Normln"/>
    <w:uiPriority w:val="39"/>
    <w:unhideWhenUsed/>
    <w:rsid w:val="59A5D358"/>
    <w:pPr>
      <w:spacing w:after="100"/>
      <w:ind w:left="1760"/>
    </w:pPr>
  </w:style>
  <w:style w:type="paragraph" w:styleId="Textvysvtlivek">
    <w:name w:val="endnote text"/>
    <w:basedOn w:val="Normln"/>
    <w:link w:val="TextvysvtlivekChar"/>
    <w:uiPriority w:val="99"/>
    <w:semiHidden/>
    <w:unhideWhenUsed/>
    <w:rsid w:val="59A5D358"/>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59A5D358"/>
    <w:rPr>
      <w:noProof w:val="0"/>
      <w:sz w:val="20"/>
      <w:szCs w:val="20"/>
      <w:lang w:val="cs-CZ"/>
    </w:rPr>
  </w:style>
  <w:style w:type="paragraph" w:customStyle="1" w:styleId="key-takeawaysdesc">
    <w:name w:val="key-takeaways__desc"/>
    <w:basedOn w:val="Normln"/>
    <w:rsid w:val="000314AD"/>
    <w:pPr>
      <w:spacing w:before="100" w:beforeAutospacing="1" w:after="100" w:afterAutospacing="1" w:line="240" w:lineRule="auto"/>
    </w:pPr>
    <w:rPr>
      <w:rFonts w:ascii="Times New Roman" w:hAnsi="Times New Roman"/>
      <w:sz w:val="24"/>
      <w:szCs w:val="24"/>
      <w:lang w:eastAsia="cs-CZ"/>
    </w:rPr>
  </w:style>
  <w:style w:type="paragraph" w:customStyle="1" w:styleId="gmail-m2150731417562814734gmail-m6704279957707695932gmail-m-3490957566834524178gmail-m-7148903268299358622msolistparagraph">
    <w:name w:val="gmail-m_2150731417562814734gmail-m6704279957707695932gmail-m-3490957566834524178gmail-m-7148903268299358622msolistparagraph"/>
    <w:basedOn w:val="Normln"/>
    <w:rsid w:val="00283E34"/>
    <w:pPr>
      <w:suppressAutoHyphens/>
      <w:autoSpaceDN w:val="0"/>
      <w:spacing w:before="100" w:after="100" w:line="240" w:lineRule="auto"/>
      <w:textAlignment w:val="baseline"/>
    </w:pPr>
    <w:rPr>
      <w:rFonts w:ascii="Calibri" w:eastAsia="Calibri" w:hAnsi="Calibri" w:cs="Calibri"/>
      <w:sz w:val="22"/>
      <w:szCs w:val="22"/>
      <w:lang w:eastAsia="cs-CZ"/>
    </w:rPr>
  </w:style>
  <w:style w:type="paragraph" w:customStyle="1" w:styleId="gmail-m2150731417562814734gmail-m6704279957707695932gmail-m-3490957566834524178gmail-m-7148903268299358622default">
    <w:name w:val="gmail-m_2150731417562814734gmail-m6704279957707695932gmail-m-3490957566834524178gmail-m-7148903268299358622default"/>
    <w:basedOn w:val="Normln"/>
    <w:rsid w:val="002C051B"/>
    <w:pPr>
      <w:suppressAutoHyphens/>
      <w:autoSpaceDN w:val="0"/>
      <w:spacing w:before="100" w:after="100" w:line="240" w:lineRule="auto"/>
      <w:textAlignment w:val="baseline"/>
    </w:pPr>
    <w:rPr>
      <w:rFonts w:ascii="Calibri" w:eastAsia="Calibri" w:hAnsi="Calibri" w:cs="Calibri"/>
      <w:sz w:val="22"/>
      <w:szCs w:val="22"/>
      <w:lang w:eastAsia="cs-CZ"/>
    </w:rPr>
  </w:style>
  <w:style w:type="character" w:styleId="Nevyeenzmnka">
    <w:name w:val="Unresolved Mention"/>
    <w:basedOn w:val="Standardnpsmoodstavce"/>
    <w:uiPriority w:val="99"/>
    <w:semiHidden/>
    <w:unhideWhenUsed/>
    <w:rsid w:val="002F4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9196">
      <w:bodyDiv w:val="1"/>
      <w:marLeft w:val="0"/>
      <w:marRight w:val="0"/>
      <w:marTop w:val="0"/>
      <w:marBottom w:val="0"/>
      <w:divBdr>
        <w:top w:val="none" w:sz="0" w:space="0" w:color="auto"/>
        <w:left w:val="none" w:sz="0" w:space="0" w:color="auto"/>
        <w:bottom w:val="none" w:sz="0" w:space="0" w:color="auto"/>
        <w:right w:val="none" w:sz="0" w:space="0" w:color="auto"/>
      </w:divBdr>
    </w:div>
    <w:div w:id="374283106">
      <w:bodyDiv w:val="1"/>
      <w:marLeft w:val="0"/>
      <w:marRight w:val="0"/>
      <w:marTop w:val="0"/>
      <w:marBottom w:val="0"/>
      <w:divBdr>
        <w:top w:val="none" w:sz="0" w:space="0" w:color="auto"/>
        <w:left w:val="none" w:sz="0" w:space="0" w:color="auto"/>
        <w:bottom w:val="none" w:sz="0" w:space="0" w:color="auto"/>
        <w:right w:val="none" w:sz="0" w:space="0" w:color="auto"/>
      </w:divBdr>
    </w:div>
    <w:div w:id="410394323">
      <w:bodyDiv w:val="1"/>
      <w:marLeft w:val="0"/>
      <w:marRight w:val="0"/>
      <w:marTop w:val="0"/>
      <w:marBottom w:val="0"/>
      <w:divBdr>
        <w:top w:val="none" w:sz="0" w:space="0" w:color="auto"/>
        <w:left w:val="none" w:sz="0" w:space="0" w:color="auto"/>
        <w:bottom w:val="none" w:sz="0" w:space="0" w:color="auto"/>
        <w:right w:val="none" w:sz="0" w:space="0" w:color="auto"/>
      </w:divBdr>
      <w:divsChild>
        <w:div w:id="1680890250">
          <w:marLeft w:val="0"/>
          <w:marRight w:val="0"/>
          <w:marTop w:val="0"/>
          <w:marBottom w:val="0"/>
          <w:divBdr>
            <w:top w:val="none" w:sz="0" w:space="0" w:color="auto"/>
            <w:left w:val="none" w:sz="0" w:space="0" w:color="auto"/>
            <w:bottom w:val="none" w:sz="0" w:space="0" w:color="auto"/>
            <w:right w:val="none" w:sz="0" w:space="0" w:color="auto"/>
          </w:divBdr>
        </w:div>
      </w:divsChild>
    </w:div>
    <w:div w:id="583686955">
      <w:bodyDiv w:val="1"/>
      <w:marLeft w:val="0"/>
      <w:marRight w:val="0"/>
      <w:marTop w:val="0"/>
      <w:marBottom w:val="0"/>
      <w:divBdr>
        <w:top w:val="none" w:sz="0" w:space="0" w:color="auto"/>
        <w:left w:val="none" w:sz="0" w:space="0" w:color="auto"/>
        <w:bottom w:val="none" w:sz="0" w:space="0" w:color="auto"/>
        <w:right w:val="none" w:sz="0" w:space="0" w:color="auto"/>
      </w:divBdr>
      <w:divsChild>
        <w:div w:id="79302678">
          <w:marLeft w:val="0"/>
          <w:marRight w:val="0"/>
          <w:marTop w:val="0"/>
          <w:marBottom w:val="0"/>
          <w:divBdr>
            <w:top w:val="none" w:sz="0" w:space="0" w:color="auto"/>
            <w:left w:val="none" w:sz="0" w:space="0" w:color="auto"/>
            <w:bottom w:val="none" w:sz="0" w:space="0" w:color="auto"/>
            <w:right w:val="none" w:sz="0" w:space="0" w:color="auto"/>
          </w:divBdr>
        </w:div>
        <w:div w:id="1391001680">
          <w:marLeft w:val="0"/>
          <w:marRight w:val="0"/>
          <w:marTop w:val="0"/>
          <w:marBottom w:val="0"/>
          <w:divBdr>
            <w:top w:val="none" w:sz="0" w:space="0" w:color="auto"/>
            <w:left w:val="none" w:sz="0" w:space="0" w:color="auto"/>
            <w:bottom w:val="none" w:sz="0" w:space="0" w:color="auto"/>
            <w:right w:val="none" w:sz="0" w:space="0" w:color="auto"/>
          </w:divBdr>
        </w:div>
      </w:divsChild>
    </w:div>
    <w:div w:id="633755119">
      <w:bodyDiv w:val="1"/>
      <w:marLeft w:val="0"/>
      <w:marRight w:val="0"/>
      <w:marTop w:val="0"/>
      <w:marBottom w:val="0"/>
      <w:divBdr>
        <w:top w:val="none" w:sz="0" w:space="0" w:color="auto"/>
        <w:left w:val="none" w:sz="0" w:space="0" w:color="auto"/>
        <w:bottom w:val="none" w:sz="0" w:space="0" w:color="auto"/>
        <w:right w:val="none" w:sz="0" w:space="0" w:color="auto"/>
      </w:divBdr>
      <w:divsChild>
        <w:div w:id="1162625556">
          <w:marLeft w:val="0"/>
          <w:marRight w:val="0"/>
          <w:marTop w:val="0"/>
          <w:marBottom w:val="0"/>
          <w:divBdr>
            <w:top w:val="none" w:sz="0" w:space="0" w:color="auto"/>
            <w:left w:val="none" w:sz="0" w:space="0" w:color="auto"/>
            <w:bottom w:val="none" w:sz="0" w:space="0" w:color="auto"/>
            <w:right w:val="none" w:sz="0" w:space="0" w:color="auto"/>
          </w:divBdr>
        </w:div>
      </w:divsChild>
    </w:div>
    <w:div w:id="676005745">
      <w:bodyDiv w:val="1"/>
      <w:marLeft w:val="0"/>
      <w:marRight w:val="0"/>
      <w:marTop w:val="0"/>
      <w:marBottom w:val="0"/>
      <w:divBdr>
        <w:top w:val="none" w:sz="0" w:space="0" w:color="auto"/>
        <w:left w:val="none" w:sz="0" w:space="0" w:color="auto"/>
        <w:bottom w:val="none" w:sz="0" w:space="0" w:color="auto"/>
        <w:right w:val="none" w:sz="0" w:space="0" w:color="auto"/>
      </w:divBdr>
    </w:div>
    <w:div w:id="688718253">
      <w:bodyDiv w:val="1"/>
      <w:marLeft w:val="0"/>
      <w:marRight w:val="0"/>
      <w:marTop w:val="0"/>
      <w:marBottom w:val="0"/>
      <w:divBdr>
        <w:top w:val="none" w:sz="0" w:space="0" w:color="auto"/>
        <w:left w:val="none" w:sz="0" w:space="0" w:color="auto"/>
        <w:bottom w:val="none" w:sz="0" w:space="0" w:color="auto"/>
        <w:right w:val="none" w:sz="0" w:space="0" w:color="auto"/>
      </w:divBdr>
    </w:div>
    <w:div w:id="719550295">
      <w:bodyDiv w:val="1"/>
      <w:marLeft w:val="0"/>
      <w:marRight w:val="0"/>
      <w:marTop w:val="0"/>
      <w:marBottom w:val="0"/>
      <w:divBdr>
        <w:top w:val="none" w:sz="0" w:space="0" w:color="auto"/>
        <w:left w:val="none" w:sz="0" w:space="0" w:color="auto"/>
        <w:bottom w:val="none" w:sz="0" w:space="0" w:color="auto"/>
        <w:right w:val="none" w:sz="0" w:space="0" w:color="auto"/>
      </w:divBdr>
    </w:div>
    <w:div w:id="963343117">
      <w:bodyDiv w:val="1"/>
      <w:marLeft w:val="0"/>
      <w:marRight w:val="0"/>
      <w:marTop w:val="0"/>
      <w:marBottom w:val="0"/>
      <w:divBdr>
        <w:top w:val="none" w:sz="0" w:space="0" w:color="auto"/>
        <w:left w:val="none" w:sz="0" w:space="0" w:color="auto"/>
        <w:bottom w:val="none" w:sz="0" w:space="0" w:color="auto"/>
        <w:right w:val="none" w:sz="0" w:space="0" w:color="auto"/>
      </w:divBdr>
      <w:divsChild>
        <w:div w:id="1969168858">
          <w:marLeft w:val="0"/>
          <w:marRight w:val="0"/>
          <w:marTop w:val="0"/>
          <w:marBottom w:val="0"/>
          <w:divBdr>
            <w:top w:val="none" w:sz="0" w:space="0" w:color="auto"/>
            <w:left w:val="none" w:sz="0" w:space="0" w:color="auto"/>
            <w:bottom w:val="none" w:sz="0" w:space="0" w:color="auto"/>
            <w:right w:val="none" w:sz="0" w:space="0" w:color="auto"/>
          </w:divBdr>
        </w:div>
      </w:divsChild>
    </w:div>
    <w:div w:id="1038316575">
      <w:bodyDiv w:val="1"/>
      <w:marLeft w:val="0"/>
      <w:marRight w:val="0"/>
      <w:marTop w:val="0"/>
      <w:marBottom w:val="0"/>
      <w:divBdr>
        <w:top w:val="none" w:sz="0" w:space="0" w:color="auto"/>
        <w:left w:val="none" w:sz="0" w:space="0" w:color="auto"/>
        <w:bottom w:val="none" w:sz="0" w:space="0" w:color="auto"/>
        <w:right w:val="none" w:sz="0" w:space="0" w:color="auto"/>
      </w:divBdr>
    </w:div>
    <w:div w:id="1058279764">
      <w:bodyDiv w:val="1"/>
      <w:marLeft w:val="0"/>
      <w:marRight w:val="0"/>
      <w:marTop w:val="0"/>
      <w:marBottom w:val="0"/>
      <w:divBdr>
        <w:top w:val="none" w:sz="0" w:space="0" w:color="auto"/>
        <w:left w:val="none" w:sz="0" w:space="0" w:color="auto"/>
        <w:bottom w:val="none" w:sz="0" w:space="0" w:color="auto"/>
        <w:right w:val="none" w:sz="0" w:space="0" w:color="auto"/>
      </w:divBdr>
      <w:divsChild>
        <w:div w:id="573320582">
          <w:marLeft w:val="0"/>
          <w:marRight w:val="0"/>
          <w:marTop w:val="0"/>
          <w:marBottom w:val="0"/>
          <w:divBdr>
            <w:top w:val="none" w:sz="0" w:space="0" w:color="auto"/>
            <w:left w:val="none" w:sz="0" w:space="0" w:color="auto"/>
            <w:bottom w:val="none" w:sz="0" w:space="0" w:color="auto"/>
            <w:right w:val="none" w:sz="0" w:space="0" w:color="auto"/>
          </w:divBdr>
        </w:div>
        <w:div w:id="2013487139">
          <w:marLeft w:val="0"/>
          <w:marRight w:val="0"/>
          <w:marTop w:val="0"/>
          <w:marBottom w:val="0"/>
          <w:divBdr>
            <w:top w:val="none" w:sz="0" w:space="0" w:color="auto"/>
            <w:left w:val="none" w:sz="0" w:space="0" w:color="auto"/>
            <w:bottom w:val="none" w:sz="0" w:space="0" w:color="auto"/>
            <w:right w:val="none" w:sz="0" w:space="0" w:color="auto"/>
          </w:divBdr>
        </w:div>
      </w:divsChild>
    </w:div>
    <w:div w:id="1158577285">
      <w:bodyDiv w:val="1"/>
      <w:marLeft w:val="0"/>
      <w:marRight w:val="0"/>
      <w:marTop w:val="0"/>
      <w:marBottom w:val="0"/>
      <w:divBdr>
        <w:top w:val="none" w:sz="0" w:space="0" w:color="auto"/>
        <w:left w:val="none" w:sz="0" w:space="0" w:color="auto"/>
        <w:bottom w:val="none" w:sz="0" w:space="0" w:color="auto"/>
        <w:right w:val="none" w:sz="0" w:space="0" w:color="auto"/>
      </w:divBdr>
      <w:divsChild>
        <w:div w:id="690112680">
          <w:marLeft w:val="0"/>
          <w:marRight w:val="0"/>
          <w:marTop w:val="0"/>
          <w:marBottom w:val="0"/>
          <w:divBdr>
            <w:top w:val="none" w:sz="0" w:space="0" w:color="auto"/>
            <w:left w:val="none" w:sz="0" w:space="0" w:color="auto"/>
            <w:bottom w:val="none" w:sz="0" w:space="0" w:color="auto"/>
            <w:right w:val="none" w:sz="0" w:space="0" w:color="auto"/>
          </w:divBdr>
        </w:div>
        <w:div w:id="1809083762">
          <w:marLeft w:val="0"/>
          <w:marRight w:val="0"/>
          <w:marTop w:val="0"/>
          <w:marBottom w:val="0"/>
          <w:divBdr>
            <w:top w:val="none" w:sz="0" w:space="0" w:color="auto"/>
            <w:left w:val="none" w:sz="0" w:space="0" w:color="auto"/>
            <w:bottom w:val="none" w:sz="0" w:space="0" w:color="auto"/>
            <w:right w:val="none" w:sz="0" w:space="0" w:color="auto"/>
          </w:divBdr>
        </w:div>
      </w:divsChild>
    </w:div>
    <w:div w:id="1229341677">
      <w:bodyDiv w:val="1"/>
      <w:marLeft w:val="0"/>
      <w:marRight w:val="0"/>
      <w:marTop w:val="0"/>
      <w:marBottom w:val="0"/>
      <w:divBdr>
        <w:top w:val="none" w:sz="0" w:space="0" w:color="auto"/>
        <w:left w:val="none" w:sz="0" w:space="0" w:color="auto"/>
        <w:bottom w:val="none" w:sz="0" w:space="0" w:color="auto"/>
        <w:right w:val="none" w:sz="0" w:space="0" w:color="auto"/>
      </w:divBdr>
    </w:div>
    <w:div w:id="1230114968">
      <w:bodyDiv w:val="1"/>
      <w:marLeft w:val="0"/>
      <w:marRight w:val="0"/>
      <w:marTop w:val="0"/>
      <w:marBottom w:val="0"/>
      <w:divBdr>
        <w:top w:val="none" w:sz="0" w:space="0" w:color="auto"/>
        <w:left w:val="none" w:sz="0" w:space="0" w:color="auto"/>
        <w:bottom w:val="none" w:sz="0" w:space="0" w:color="auto"/>
        <w:right w:val="none" w:sz="0" w:space="0" w:color="auto"/>
      </w:divBdr>
      <w:divsChild>
        <w:div w:id="254629549">
          <w:marLeft w:val="0"/>
          <w:marRight w:val="0"/>
          <w:marTop w:val="0"/>
          <w:marBottom w:val="0"/>
          <w:divBdr>
            <w:top w:val="none" w:sz="0" w:space="0" w:color="auto"/>
            <w:left w:val="none" w:sz="0" w:space="0" w:color="auto"/>
            <w:bottom w:val="none" w:sz="0" w:space="0" w:color="auto"/>
            <w:right w:val="none" w:sz="0" w:space="0" w:color="auto"/>
          </w:divBdr>
        </w:div>
        <w:div w:id="1094479508">
          <w:marLeft w:val="0"/>
          <w:marRight w:val="0"/>
          <w:marTop w:val="0"/>
          <w:marBottom w:val="0"/>
          <w:divBdr>
            <w:top w:val="none" w:sz="0" w:space="0" w:color="auto"/>
            <w:left w:val="none" w:sz="0" w:space="0" w:color="auto"/>
            <w:bottom w:val="none" w:sz="0" w:space="0" w:color="auto"/>
            <w:right w:val="none" w:sz="0" w:space="0" w:color="auto"/>
          </w:divBdr>
        </w:div>
      </w:divsChild>
    </w:div>
    <w:div w:id="1245603763">
      <w:bodyDiv w:val="1"/>
      <w:marLeft w:val="0"/>
      <w:marRight w:val="0"/>
      <w:marTop w:val="0"/>
      <w:marBottom w:val="0"/>
      <w:divBdr>
        <w:top w:val="none" w:sz="0" w:space="0" w:color="auto"/>
        <w:left w:val="none" w:sz="0" w:space="0" w:color="auto"/>
        <w:bottom w:val="none" w:sz="0" w:space="0" w:color="auto"/>
        <w:right w:val="none" w:sz="0" w:space="0" w:color="auto"/>
      </w:divBdr>
    </w:div>
    <w:div w:id="1316839412">
      <w:bodyDiv w:val="1"/>
      <w:marLeft w:val="0"/>
      <w:marRight w:val="0"/>
      <w:marTop w:val="0"/>
      <w:marBottom w:val="0"/>
      <w:divBdr>
        <w:top w:val="none" w:sz="0" w:space="0" w:color="auto"/>
        <w:left w:val="none" w:sz="0" w:space="0" w:color="auto"/>
        <w:bottom w:val="none" w:sz="0" w:space="0" w:color="auto"/>
        <w:right w:val="none" w:sz="0" w:space="0" w:color="auto"/>
      </w:divBdr>
    </w:div>
    <w:div w:id="1458917184">
      <w:bodyDiv w:val="1"/>
      <w:marLeft w:val="0"/>
      <w:marRight w:val="0"/>
      <w:marTop w:val="0"/>
      <w:marBottom w:val="0"/>
      <w:divBdr>
        <w:top w:val="none" w:sz="0" w:space="0" w:color="auto"/>
        <w:left w:val="none" w:sz="0" w:space="0" w:color="auto"/>
        <w:bottom w:val="none" w:sz="0" w:space="0" w:color="auto"/>
        <w:right w:val="none" w:sz="0" w:space="0" w:color="auto"/>
      </w:divBdr>
    </w:div>
    <w:div w:id="1461218914">
      <w:bodyDiv w:val="1"/>
      <w:marLeft w:val="0"/>
      <w:marRight w:val="0"/>
      <w:marTop w:val="0"/>
      <w:marBottom w:val="0"/>
      <w:divBdr>
        <w:top w:val="none" w:sz="0" w:space="0" w:color="auto"/>
        <w:left w:val="none" w:sz="0" w:space="0" w:color="auto"/>
        <w:bottom w:val="none" w:sz="0" w:space="0" w:color="auto"/>
        <w:right w:val="none" w:sz="0" w:space="0" w:color="auto"/>
      </w:divBdr>
      <w:divsChild>
        <w:div w:id="478306429">
          <w:marLeft w:val="0"/>
          <w:marRight w:val="0"/>
          <w:marTop w:val="0"/>
          <w:marBottom w:val="0"/>
          <w:divBdr>
            <w:top w:val="none" w:sz="0" w:space="0" w:color="auto"/>
            <w:left w:val="none" w:sz="0" w:space="0" w:color="auto"/>
            <w:bottom w:val="none" w:sz="0" w:space="0" w:color="auto"/>
            <w:right w:val="none" w:sz="0" w:space="0" w:color="auto"/>
          </w:divBdr>
        </w:div>
        <w:div w:id="1223639370">
          <w:marLeft w:val="0"/>
          <w:marRight w:val="0"/>
          <w:marTop w:val="0"/>
          <w:marBottom w:val="0"/>
          <w:divBdr>
            <w:top w:val="none" w:sz="0" w:space="0" w:color="auto"/>
            <w:left w:val="none" w:sz="0" w:space="0" w:color="auto"/>
            <w:bottom w:val="none" w:sz="0" w:space="0" w:color="auto"/>
            <w:right w:val="none" w:sz="0" w:space="0" w:color="auto"/>
          </w:divBdr>
        </w:div>
      </w:divsChild>
    </w:div>
    <w:div w:id="1571189850">
      <w:bodyDiv w:val="1"/>
      <w:marLeft w:val="0"/>
      <w:marRight w:val="0"/>
      <w:marTop w:val="0"/>
      <w:marBottom w:val="0"/>
      <w:divBdr>
        <w:top w:val="none" w:sz="0" w:space="0" w:color="auto"/>
        <w:left w:val="none" w:sz="0" w:space="0" w:color="auto"/>
        <w:bottom w:val="none" w:sz="0" w:space="0" w:color="auto"/>
        <w:right w:val="none" w:sz="0" w:space="0" w:color="auto"/>
      </w:divBdr>
    </w:div>
    <w:div w:id="1606041069">
      <w:bodyDiv w:val="1"/>
      <w:marLeft w:val="0"/>
      <w:marRight w:val="0"/>
      <w:marTop w:val="0"/>
      <w:marBottom w:val="0"/>
      <w:divBdr>
        <w:top w:val="none" w:sz="0" w:space="0" w:color="auto"/>
        <w:left w:val="none" w:sz="0" w:space="0" w:color="auto"/>
        <w:bottom w:val="none" w:sz="0" w:space="0" w:color="auto"/>
        <w:right w:val="none" w:sz="0" w:space="0" w:color="auto"/>
      </w:divBdr>
      <w:divsChild>
        <w:div w:id="8265662">
          <w:marLeft w:val="0"/>
          <w:marRight w:val="0"/>
          <w:marTop w:val="0"/>
          <w:marBottom w:val="0"/>
          <w:divBdr>
            <w:top w:val="none" w:sz="0" w:space="0" w:color="auto"/>
            <w:left w:val="none" w:sz="0" w:space="0" w:color="auto"/>
            <w:bottom w:val="none" w:sz="0" w:space="0" w:color="auto"/>
            <w:right w:val="none" w:sz="0" w:space="0" w:color="auto"/>
          </w:divBdr>
        </w:div>
      </w:divsChild>
    </w:div>
    <w:div w:id="1741056394">
      <w:bodyDiv w:val="1"/>
      <w:marLeft w:val="0"/>
      <w:marRight w:val="0"/>
      <w:marTop w:val="0"/>
      <w:marBottom w:val="0"/>
      <w:divBdr>
        <w:top w:val="none" w:sz="0" w:space="0" w:color="auto"/>
        <w:left w:val="none" w:sz="0" w:space="0" w:color="auto"/>
        <w:bottom w:val="none" w:sz="0" w:space="0" w:color="auto"/>
        <w:right w:val="none" w:sz="0" w:space="0" w:color="auto"/>
      </w:divBdr>
      <w:divsChild>
        <w:div w:id="1774857088">
          <w:marLeft w:val="0"/>
          <w:marRight w:val="0"/>
          <w:marTop w:val="0"/>
          <w:marBottom w:val="0"/>
          <w:divBdr>
            <w:top w:val="none" w:sz="0" w:space="0" w:color="auto"/>
            <w:left w:val="none" w:sz="0" w:space="0" w:color="auto"/>
            <w:bottom w:val="none" w:sz="0" w:space="0" w:color="auto"/>
            <w:right w:val="none" w:sz="0" w:space="0" w:color="auto"/>
          </w:divBdr>
        </w:div>
      </w:divsChild>
    </w:div>
    <w:div w:id="1767800497">
      <w:bodyDiv w:val="1"/>
      <w:marLeft w:val="0"/>
      <w:marRight w:val="0"/>
      <w:marTop w:val="0"/>
      <w:marBottom w:val="0"/>
      <w:divBdr>
        <w:top w:val="none" w:sz="0" w:space="0" w:color="auto"/>
        <w:left w:val="none" w:sz="0" w:space="0" w:color="auto"/>
        <w:bottom w:val="none" w:sz="0" w:space="0" w:color="auto"/>
        <w:right w:val="none" w:sz="0" w:space="0" w:color="auto"/>
      </w:divBdr>
    </w:div>
    <w:div w:id="1810905054">
      <w:bodyDiv w:val="1"/>
      <w:marLeft w:val="0"/>
      <w:marRight w:val="0"/>
      <w:marTop w:val="0"/>
      <w:marBottom w:val="0"/>
      <w:divBdr>
        <w:top w:val="none" w:sz="0" w:space="0" w:color="auto"/>
        <w:left w:val="none" w:sz="0" w:space="0" w:color="auto"/>
        <w:bottom w:val="none" w:sz="0" w:space="0" w:color="auto"/>
        <w:right w:val="none" w:sz="0" w:space="0" w:color="auto"/>
      </w:divBdr>
    </w:div>
    <w:div w:id="1830556607">
      <w:bodyDiv w:val="1"/>
      <w:marLeft w:val="0"/>
      <w:marRight w:val="0"/>
      <w:marTop w:val="0"/>
      <w:marBottom w:val="0"/>
      <w:divBdr>
        <w:top w:val="none" w:sz="0" w:space="0" w:color="auto"/>
        <w:left w:val="none" w:sz="0" w:space="0" w:color="auto"/>
        <w:bottom w:val="none" w:sz="0" w:space="0" w:color="auto"/>
        <w:right w:val="none" w:sz="0" w:space="0" w:color="auto"/>
      </w:divBdr>
    </w:div>
    <w:div w:id="1852405803">
      <w:bodyDiv w:val="1"/>
      <w:marLeft w:val="0"/>
      <w:marRight w:val="0"/>
      <w:marTop w:val="0"/>
      <w:marBottom w:val="0"/>
      <w:divBdr>
        <w:top w:val="none" w:sz="0" w:space="0" w:color="auto"/>
        <w:left w:val="none" w:sz="0" w:space="0" w:color="auto"/>
        <w:bottom w:val="none" w:sz="0" w:space="0" w:color="auto"/>
        <w:right w:val="none" w:sz="0" w:space="0" w:color="auto"/>
      </w:divBdr>
      <w:divsChild>
        <w:div w:id="778841024">
          <w:marLeft w:val="0"/>
          <w:marRight w:val="0"/>
          <w:marTop w:val="0"/>
          <w:marBottom w:val="0"/>
          <w:divBdr>
            <w:top w:val="none" w:sz="0" w:space="0" w:color="auto"/>
            <w:left w:val="none" w:sz="0" w:space="0" w:color="auto"/>
            <w:bottom w:val="none" w:sz="0" w:space="0" w:color="auto"/>
            <w:right w:val="none" w:sz="0" w:space="0" w:color="auto"/>
          </w:divBdr>
        </w:div>
        <w:div w:id="1698315473">
          <w:marLeft w:val="0"/>
          <w:marRight w:val="0"/>
          <w:marTop w:val="0"/>
          <w:marBottom w:val="0"/>
          <w:divBdr>
            <w:top w:val="none" w:sz="0" w:space="0" w:color="auto"/>
            <w:left w:val="none" w:sz="0" w:space="0" w:color="auto"/>
            <w:bottom w:val="none" w:sz="0" w:space="0" w:color="auto"/>
            <w:right w:val="none" w:sz="0" w:space="0" w:color="auto"/>
          </w:divBdr>
        </w:div>
        <w:div w:id="1794447284">
          <w:marLeft w:val="0"/>
          <w:marRight w:val="0"/>
          <w:marTop w:val="0"/>
          <w:marBottom w:val="0"/>
          <w:divBdr>
            <w:top w:val="none" w:sz="0" w:space="0" w:color="auto"/>
            <w:left w:val="none" w:sz="0" w:space="0" w:color="auto"/>
            <w:bottom w:val="none" w:sz="0" w:space="0" w:color="auto"/>
            <w:right w:val="none" w:sz="0" w:space="0" w:color="auto"/>
          </w:divBdr>
        </w:div>
      </w:divsChild>
    </w:div>
    <w:div w:id="1985817208">
      <w:bodyDiv w:val="1"/>
      <w:marLeft w:val="0"/>
      <w:marRight w:val="0"/>
      <w:marTop w:val="0"/>
      <w:marBottom w:val="0"/>
      <w:divBdr>
        <w:top w:val="none" w:sz="0" w:space="0" w:color="auto"/>
        <w:left w:val="none" w:sz="0" w:space="0" w:color="auto"/>
        <w:bottom w:val="none" w:sz="0" w:space="0" w:color="auto"/>
        <w:right w:val="none" w:sz="0" w:space="0" w:color="auto"/>
      </w:divBdr>
      <w:divsChild>
        <w:div w:id="1880318365">
          <w:marLeft w:val="0"/>
          <w:marRight w:val="0"/>
          <w:marTop w:val="0"/>
          <w:marBottom w:val="0"/>
          <w:divBdr>
            <w:top w:val="none" w:sz="0" w:space="0" w:color="auto"/>
            <w:left w:val="none" w:sz="0" w:space="0" w:color="auto"/>
            <w:bottom w:val="none" w:sz="0" w:space="0" w:color="auto"/>
            <w:right w:val="none" w:sz="0" w:space="0" w:color="auto"/>
          </w:divBdr>
        </w:div>
        <w:div w:id="1991786307">
          <w:marLeft w:val="0"/>
          <w:marRight w:val="0"/>
          <w:marTop w:val="0"/>
          <w:marBottom w:val="0"/>
          <w:divBdr>
            <w:top w:val="none" w:sz="0" w:space="0" w:color="auto"/>
            <w:left w:val="none" w:sz="0" w:space="0" w:color="auto"/>
            <w:bottom w:val="none" w:sz="0" w:space="0" w:color="auto"/>
            <w:right w:val="none" w:sz="0" w:space="0" w:color="auto"/>
          </w:divBdr>
        </w:div>
      </w:divsChild>
    </w:div>
    <w:div w:id="2084523740">
      <w:bodyDiv w:val="1"/>
      <w:marLeft w:val="0"/>
      <w:marRight w:val="0"/>
      <w:marTop w:val="0"/>
      <w:marBottom w:val="0"/>
      <w:divBdr>
        <w:top w:val="none" w:sz="0" w:space="0" w:color="auto"/>
        <w:left w:val="none" w:sz="0" w:space="0" w:color="auto"/>
        <w:bottom w:val="none" w:sz="0" w:space="0" w:color="auto"/>
        <w:right w:val="none" w:sz="0" w:space="0" w:color="auto"/>
      </w:divBdr>
    </w:div>
    <w:div w:id="213170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ska.krohova@crestco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ad45028c6f7a51d724d121a1f8542c5b">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e591d9f245c6de5cde52871141cfea66"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5104B0-2F76-441B-B499-10EFE4141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F8A2AE-AABC-49C5-8529-B6352AFED511}">
  <ds:schemaRefs>
    <ds:schemaRef ds:uri="http://schemas.openxmlformats.org/officeDocument/2006/bibliography"/>
  </ds:schemaRefs>
</ds:datastoreItem>
</file>

<file path=customXml/itemProps3.xml><?xml version="1.0" encoding="utf-8"?>
<ds:datastoreItem xmlns:ds="http://schemas.openxmlformats.org/officeDocument/2006/customXml" ds:itemID="{99571912-F4A6-4C20-AFF8-4273E445F0A4}">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4.xml><?xml version="1.0" encoding="utf-8"?>
<ds:datastoreItem xmlns:ds="http://schemas.openxmlformats.org/officeDocument/2006/customXml" ds:itemID="{C9D5603F-4211-4E0F-86EF-DBB2ACF3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2073</Words>
  <Characters>12235</Characters>
  <Application>Microsoft Office Word</Application>
  <DocSecurity>0</DocSecurity>
  <Lines>101</Lines>
  <Paragraphs>28</Paragraphs>
  <ScaleCrop>false</ScaleCrop>
  <HeadingPairs>
    <vt:vector size="2" baseType="variant">
      <vt:variant>
        <vt:lpstr>Název</vt:lpstr>
      </vt:variant>
      <vt:variant>
        <vt:i4>1</vt:i4>
      </vt:variant>
    </vt:vector>
  </HeadingPairs>
  <TitlesOfParts>
    <vt:vector size="1" baseType="lpstr">
      <vt:lpstr>Performance</vt:lpstr>
    </vt:vector>
  </TitlesOfParts>
  <Company>INVESCO</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dc:title>
  <dc:creator>VJ</dc:creator>
  <cp:lastModifiedBy>ELISKA KROHOVA</cp:lastModifiedBy>
  <cp:revision>2</cp:revision>
  <cp:lastPrinted>2021-02-17T20:24:00Z</cp:lastPrinted>
  <dcterms:created xsi:type="dcterms:W3CDTF">2026-10-22T11:27:00Z</dcterms:created>
  <dcterms:modified xsi:type="dcterms:W3CDTF">2026-10-22T11:27:00Z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